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6B6769" w14:textId="77777777" w:rsidR="005F32C1" w:rsidRPr="005F32C1" w:rsidRDefault="005F32C1" w:rsidP="005A1E4D">
      <w:pPr>
        <w:pStyle w:val="Heading2"/>
      </w:pPr>
      <w:r w:rsidRPr="005F32C1">
        <w:t>Compliance Summary</w:t>
      </w:r>
    </w:p>
    <w:p w14:paraId="706B0208" w14:textId="77777777" w:rsidR="005F32C1" w:rsidRPr="005F32C1" w:rsidRDefault="005F32C1" w:rsidP="005A1E4D">
      <w:r w:rsidRPr="005F32C1">
        <w:t>The National Imaging Registry (NIR) Deployment Safety Recommendations have been reviewed against the NHS England Digital Onboarding Framework and the applicable clinical safety and information governance standards, including DCB 0129, DCB 0160, the NHS England Data Protection Impact Assessment (DPIA) requirements, and national security architecture controls.</w:t>
      </w:r>
    </w:p>
    <w:p w14:paraId="5439D368" w14:textId="77777777" w:rsidR="005F32C1" w:rsidRPr="005F32C1" w:rsidRDefault="005F32C1" w:rsidP="005A1E4D">
      <w:r w:rsidRPr="005F32C1">
        <w:t>This assessment confirms that:</w:t>
      </w:r>
    </w:p>
    <w:p w14:paraId="49702934" w14:textId="77777777" w:rsidR="005F32C1" w:rsidRPr="005F32C1" w:rsidRDefault="005F32C1" w:rsidP="005A1E4D">
      <w:pPr>
        <w:pStyle w:val="Heading3"/>
      </w:pPr>
      <w:r w:rsidRPr="005F32C1">
        <w:t>Overall Compliance Position</w:t>
      </w:r>
    </w:p>
    <w:p w14:paraId="6EE9835C" w14:textId="77777777" w:rsidR="005F32C1" w:rsidRPr="005F32C1" w:rsidRDefault="005F32C1" w:rsidP="005A1E4D">
      <w:r w:rsidRPr="005F32C1">
        <w:t>The NIR solution demonstrates substantial alignment with NHS Digital onboarding requirements across technical integration, security, information governance, and operational readiness domains. Core platform controls—covering authentication, authorisation, audit logging, secure transport, high-availability architecture, observability, and error management—are fully established and evidenced within the NIR documentation set.</w:t>
      </w:r>
    </w:p>
    <w:p w14:paraId="0F61479A" w14:textId="77777777" w:rsidR="005F32C1" w:rsidRPr="005F32C1" w:rsidRDefault="005F32C1" w:rsidP="005A1E4D">
      <w:r w:rsidRPr="005F32C1">
        <w:t>Where gaps or partial coverage exist, they relate primarily to local deployment responsibilities for consuming organisations or suppliers integrating with NIR. These include workflow validation, training, metadata integrity, RBAC mapping, business continuity procedures, and clinical interpretation of incomplete results. These are not deficiencies in the NIR technical platform but represent deployment-specific controls required to ensure hazards identified in the Clinical Safety Case are fully mitigated.</w:t>
      </w:r>
    </w:p>
    <w:p w14:paraId="22049712" w14:textId="77777777" w:rsidR="005F32C1" w:rsidRPr="005F32C1" w:rsidRDefault="005F32C1" w:rsidP="005A1E4D">
      <w:pPr>
        <w:pStyle w:val="Heading3"/>
      </w:pPr>
      <w:r w:rsidRPr="005F32C1">
        <w:t>Alignment With NHS England Onboarding Stages</w:t>
      </w:r>
    </w:p>
    <w:p w14:paraId="252442E4" w14:textId="77777777" w:rsidR="005F32C1" w:rsidRPr="005F32C1" w:rsidRDefault="005F32C1" w:rsidP="005A1E4D">
      <w:r w:rsidRPr="005F32C1">
        <w:t>Across the five onboarding domains, NIR satisfies the following:</w:t>
      </w:r>
    </w:p>
    <w:p w14:paraId="7B26E4E3" w14:textId="77777777" w:rsidR="005F32C1" w:rsidRPr="005F32C1" w:rsidRDefault="005F32C1" w:rsidP="0088484F">
      <w:pPr>
        <w:pStyle w:val="ListParagraph"/>
        <w:numPr>
          <w:ilvl w:val="0"/>
          <w:numId w:val="4"/>
        </w:numPr>
      </w:pPr>
      <w:r w:rsidRPr="005F32C1">
        <w:t>Pre-Onboarding Readiness:</w:t>
      </w:r>
      <w:r w:rsidRPr="005F32C1">
        <w:br/>
        <w:t>Compliance achieved for architecture publication, IG pre-engagement, security principles, and certificate/trust preparation.</w:t>
      </w:r>
    </w:p>
    <w:p w14:paraId="1E27E449" w14:textId="5A052247" w:rsidR="005F32C1" w:rsidRPr="005F32C1" w:rsidRDefault="005F32C1" w:rsidP="0088484F">
      <w:pPr>
        <w:pStyle w:val="ListParagraph"/>
        <w:numPr>
          <w:ilvl w:val="0"/>
          <w:numId w:val="4"/>
        </w:numPr>
      </w:pPr>
      <w:r w:rsidRPr="005F32C1">
        <w:t>Technical Integration &amp; Conformance:</w:t>
      </w:r>
      <w:r w:rsidRPr="005F32C1">
        <w:br/>
        <w:t xml:space="preserve">Strong alignment with XCA interoperability, </w:t>
      </w:r>
      <w:proofErr w:type="spellStart"/>
      <w:r w:rsidRPr="005F32C1">
        <w:t>mTLS</w:t>
      </w:r>
      <w:proofErr w:type="spellEnd"/>
      <w:r w:rsidRPr="005F32C1">
        <w:t xml:space="preserve"> authentication, certificate chain validation, and logging/diagnostics capabilities. Additional work is required from suppliers to complete metadata and workflow conformance testing.</w:t>
      </w:r>
    </w:p>
    <w:p w14:paraId="7B6D75E5" w14:textId="77777777" w:rsidR="005F32C1" w:rsidRPr="005F32C1" w:rsidRDefault="005F32C1" w:rsidP="0088484F">
      <w:pPr>
        <w:pStyle w:val="ListParagraph"/>
        <w:numPr>
          <w:ilvl w:val="0"/>
          <w:numId w:val="4"/>
        </w:numPr>
      </w:pPr>
      <w:r w:rsidRPr="005F32C1">
        <w:t>Safety &amp; Information Governance Assurance:</w:t>
      </w:r>
      <w:r w:rsidRPr="005F32C1">
        <w:br/>
        <w:t>DPIA, Data Sharing, and DCB 0129/0160 controls are well-defined. Some deployment activities—particularly related to clinical workflow validation, user training, and local risk controls—must be implemented organisation-side.</w:t>
      </w:r>
    </w:p>
    <w:p w14:paraId="3150C6EE" w14:textId="77777777" w:rsidR="005F32C1" w:rsidRPr="005F32C1" w:rsidRDefault="005F32C1" w:rsidP="0088484F">
      <w:pPr>
        <w:pStyle w:val="ListParagraph"/>
        <w:numPr>
          <w:ilvl w:val="0"/>
          <w:numId w:val="4"/>
        </w:numPr>
      </w:pPr>
      <w:r w:rsidRPr="005F32C1">
        <w:t>Deployment &amp; Go-Live Readiness:</w:t>
      </w:r>
      <w:r w:rsidRPr="005F32C1">
        <w:br/>
        <w:t xml:space="preserve">NIR provides the required HA/DR patterns, monitoring, and error handling. </w:t>
      </w:r>
      <w:r w:rsidRPr="005F32C1">
        <w:lastRenderedPageBreak/>
        <w:t>Organisations must evidence readiness through E2E testing, SOPs, and fallback/BCP procedures.</w:t>
      </w:r>
    </w:p>
    <w:p w14:paraId="02EC724E" w14:textId="77777777" w:rsidR="005F32C1" w:rsidRPr="005F32C1" w:rsidRDefault="005F32C1" w:rsidP="0088484F">
      <w:pPr>
        <w:pStyle w:val="ListParagraph"/>
        <w:numPr>
          <w:ilvl w:val="0"/>
          <w:numId w:val="4"/>
        </w:numPr>
      </w:pPr>
      <w:r w:rsidRPr="005F32C1">
        <w:t>Go-Live / Hypercare &amp; BAU:</w:t>
      </w:r>
      <w:r w:rsidRPr="005F32C1">
        <w:br/>
        <w:t>Reporting dashboards, audit logging, monitoring, and governance data flows are in place. Local adoption into operational service management remains a deployment requirement.</w:t>
      </w:r>
    </w:p>
    <w:p w14:paraId="43E9C5A5" w14:textId="77777777" w:rsidR="005F32C1" w:rsidRPr="005F32C1" w:rsidRDefault="005F32C1" w:rsidP="0088484F">
      <w:pPr>
        <w:pStyle w:val="Heading3"/>
      </w:pPr>
      <w:r w:rsidRPr="005F32C1">
        <w:t>Residual Risk and Mitigation</w:t>
      </w:r>
    </w:p>
    <w:p w14:paraId="7A502454" w14:textId="77777777" w:rsidR="005F32C1" w:rsidRPr="005F32C1" w:rsidRDefault="005F32C1" w:rsidP="005A1E4D">
      <w:r w:rsidRPr="005F32C1">
        <w:t>Residual risks identified in the Hazard Log relate to:</w:t>
      </w:r>
    </w:p>
    <w:p w14:paraId="6F8EB61B" w14:textId="7B697B61" w:rsidR="005F32C1" w:rsidRPr="005F32C1" w:rsidRDefault="0088484F" w:rsidP="0088484F">
      <w:pPr>
        <w:pStyle w:val="ListParagraph"/>
        <w:numPr>
          <w:ilvl w:val="0"/>
          <w:numId w:val="5"/>
        </w:numPr>
      </w:pPr>
      <w:r w:rsidRPr="005F32C1">
        <w:t>Patient identification mismatch,</w:t>
      </w:r>
    </w:p>
    <w:p w14:paraId="50ED12EF" w14:textId="16234CA5" w:rsidR="005F32C1" w:rsidRPr="005F32C1" w:rsidRDefault="0088484F" w:rsidP="0088484F">
      <w:pPr>
        <w:pStyle w:val="ListParagraph"/>
        <w:numPr>
          <w:ilvl w:val="0"/>
          <w:numId w:val="5"/>
        </w:numPr>
      </w:pPr>
      <w:r w:rsidRPr="005F32C1">
        <w:t>Data quality/metadata mapping variance,</w:t>
      </w:r>
    </w:p>
    <w:p w14:paraId="31FC2EAC" w14:textId="2B207AC2" w:rsidR="005F32C1" w:rsidRPr="005F32C1" w:rsidRDefault="0088484F" w:rsidP="0088484F">
      <w:pPr>
        <w:pStyle w:val="ListParagraph"/>
        <w:numPr>
          <w:ilvl w:val="0"/>
          <w:numId w:val="5"/>
        </w:numPr>
      </w:pPr>
      <w:r w:rsidRPr="005F32C1">
        <w:t>Incomplete or failed retrievals,</w:t>
      </w:r>
    </w:p>
    <w:p w14:paraId="329739C7" w14:textId="0F019A32" w:rsidR="005F32C1" w:rsidRPr="005F32C1" w:rsidRDefault="0088484F" w:rsidP="0088484F">
      <w:pPr>
        <w:pStyle w:val="ListParagraph"/>
        <w:numPr>
          <w:ilvl w:val="0"/>
          <w:numId w:val="5"/>
        </w:numPr>
      </w:pPr>
      <w:r w:rsidRPr="005F32C1">
        <w:t>Workflow integration and training gaps, and</w:t>
      </w:r>
    </w:p>
    <w:p w14:paraId="6E905118" w14:textId="4F10EC9A" w:rsidR="005F32C1" w:rsidRPr="005F32C1" w:rsidRDefault="0088484F" w:rsidP="0088484F">
      <w:pPr>
        <w:pStyle w:val="ListParagraph"/>
        <w:numPr>
          <w:ilvl w:val="0"/>
          <w:numId w:val="5"/>
        </w:numPr>
      </w:pPr>
      <w:r w:rsidRPr="005F32C1">
        <w:t>Local operational readiness.</w:t>
      </w:r>
    </w:p>
    <w:p w14:paraId="318402B3" w14:textId="77777777" w:rsidR="005F32C1" w:rsidRPr="005F32C1" w:rsidRDefault="005F32C1" w:rsidP="005A1E4D">
      <w:r w:rsidRPr="005F32C1">
        <w:t>Each has an associated deployment safety control, with clear ownership assigned to the DSOM deployment team, connecting organisations, or suppliers. No uncontrolled or unmitigated high-severity hazards remain when these controls are implemented.</w:t>
      </w:r>
    </w:p>
    <w:p w14:paraId="306865F8" w14:textId="77777777" w:rsidR="005F32C1" w:rsidRPr="005F32C1" w:rsidRDefault="005F32C1" w:rsidP="0088484F">
      <w:pPr>
        <w:pStyle w:val="Heading3"/>
      </w:pPr>
      <w:r w:rsidRPr="005F32C1">
        <w:t>Conclusion</w:t>
      </w:r>
    </w:p>
    <w:p w14:paraId="301CA5E0" w14:textId="77777777" w:rsidR="005F32C1" w:rsidRPr="005F32C1" w:rsidRDefault="005F32C1" w:rsidP="005A1E4D">
      <w:proofErr w:type="gramStart"/>
      <w:r w:rsidRPr="005F32C1">
        <w:t>On the basis of</w:t>
      </w:r>
      <w:proofErr w:type="gramEnd"/>
      <w:r w:rsidRPr="005F32C1">
        <w:t xml:space="preserve"> this assessment, NIR is compliant with the NHS Digital Onboarding Framework, subject to completion of deployment-phase activities by integrating organisations and suppliers. The technical platform, documentation suite, and safety artefacts meet national expectations for clinical safety, interoperability, and security. Local deployment controls listed in this report must be adopted and evidenced for each onboarding organisation to achieve full DCB 0160 compliance prior to live service activation.</w:t>
      </w:r>
    </w:p>
    <w:p w14:paraId="49BA07E0" w14:textId="77777777" w:rsidR="00EA0642" w:rsidRDefault="00EA0642"/>
    <w:p w14:paraId="371E49F2" w14:textId="77777777" w:rsidR="00F2158D" w:rsidRDefault="00F2158D"/>
    <w:p w14:paraId="5F0A22A6" w14:textId="77777777" w:rsidR="00F2158D" w:rsidRDefault="00F2158D"/>
    <w:p w14:paraId="7AD8532E" w14:textId="77777777" w:rsidR="00F2158D" w:rsidRDefault="00F2158D">
      <w:pPr>
        <w:sectPr w:rsidR="00F2158D">
          <w:pgSz w:w="11906" w:h="16838"/>
          <w:pgMar w:top="1440" w:right="1440" w:bottom="1440" w:left="1440" w:header="708" w:footer="708" w:gutter="0"/>
          <w:cols w:space="708"/>
          <w:docGrid w:linePitch="360"/>
        </w:sectPr>
      </w:pPr>
    </w:p>
    <w:p w14:paraId="237BCFC9" w14:textId="3FA33A01" w:rsidR="00851D07" w:rsidRDefault="00851D07"/>
    <w:tbl>
      <w:tblPr>
        <w:tblStyle w:val="TableGrid"/>
        <w:tblW w:w="21825" w:type="dxa"/>
        <w:tblLayout w:type="fixed"/>
        <w:tblLook w:val="04A0" w:firstRow="1" w:lastRow="0" w:firstColumn="1" w:lastColumn="0" w:noHBand="0" w:noVBand="1"/>
      </w:tblPr>
      <w:tblGrid>
        <w:gridCol w:w="1271"/>
        <w:gridCol w:w="992"/>
        <w:gridCol w:w="1276"/>
        <w:gridCol w:w="4111"/>
        <w:gridCol w:w="1701"/>
        <w:gridCol w:w="4961"/>
        <w:gridCol w:w="1417"/>
        <w:gridCol w:w="6096"/>
      </w:tblGrid>
      <w:tr w:rsidR="003C3260" w14:paraId="667A9CDF" w14:textId="77777777" w:rsidTr="00450B00">
        <w:trPr>
          <w:cantSplit/>
          <w:tblHeader/>
        </w:trPr>
        <w:tc>
          <w:tcPr>
            <w:tcW w:w="1271" w:type="dxa"/>
            <w:shd w:val="clear" w:color="auto" w:fill="E8E8E8" w:themeFill="background2"/>
            <w:vAlign w:val="center"/>
          </w:tcPr>
          <w:p w14:paraId="50DEA5D1" w14:textId="158A6B2D" w:rsidR="003C3260" w:rsidRDefault="003C3260" w:rsidP="00BF57FE">
            <w:r w:rsidRPr="00F2158D">
              <w:rPr>
                <w:b/>
                <w:bCs/>
              </w:rPr>
              <w:t>Hazard Group</w:t>
            </w:r>
          </w:p>
        </w:tc>
        <w:tc>
          <w:tcPr>
            <w:tcW w:w="992" w:type="dxa"/>
            <w:shd w:val="clear" w:color="auto" w:fill="E8E8E8" w:themeFill="background2"/>
            <w:vAlign w:val="center"/>
          </w:tcPr>
          <w:p w14:paraId="6FBE9505" w14:textId="1F64CEA2" w:rsidR="003C3260" w:rsidRDefault="003C3260" w:rsidP="00BF57FE">
            <w:r>
              <w:rPr>
                <w:b/>
                <w:bCs/>
              </w:rPr>
              <w:t xml:space="preserve">DCB 0129 </w:t>
            </w:r>
            <w:r w:rsidRPr="00F2158D">
              <w:rPr>
                <w:b/>
                <w:bCs/>
              </w:rPr>
              <w:t>Hazard ID(s)</w:t>
            </w:r>
          </w:p>
        </w:tc>
        <w:tc>
          <w:tcPr>
            <w:tcW w:w="1276" w:type="dxa"/>
            <w:shd w:val="clear" w:color="auto" w:fill="E8E8E8" w:themeFill="background2"/>
            <w:vAlign w:val="center"/>
          </w:tcPr>
          <w:p w14:paraId="7D67D9AC" w14:textId="58AC2EF3" w:rsidR="003C3260" w:rsidRPr="00450B00" w:rsidRDefault="003C3260" w:rsidP="00BF57FE">
            <w:pPr>
              <w:rPr>
                <w:b/>
                <w:bCs/>
              </w:rPr>
            </w:pPr>
            <w:r w:rsidRPr="00F2158D">
              <w:rPr>
                <w:b/>
                <w:bCs/>
              </w:rPr>
              <w:t>Hazard Sub-Group</w:t>
            </w:r>
          </w:p>
        </w:tc>
        <w:tc>
          <w:tcPr>
            <w:tcW w:w="4111" w:type="dxa"/>
            <w:shd w:val="clear" w:color="auto" w:fill="E8E8E8" w:themeFill="background2"/>
            <w:vAlign w:val="center"/>
          </w:tcPr>
          <w:p w14:paraId="14169B3D" w14:textId="6091FB50" w:rsidR="003C3260" w:rsidRPr="00450B00" w:rsidRDefault="003C3260" w:rsidP="00BF57FE">
            <w:pPr>
              <w:rPr>
                <w:b/>
                <w:bCs/>
              </w:rPr>
            </w:pPr>
            <w:r w:rsidRPr="00F2158D">
              <w:rPr>
                <w:b/>
                <w:bCs/>
              </w:rPr>
              <w:t>Operational Requirement / Recommendation (Deployment Safety Control)</w:t>
            </w:r>
          </w:p>
        </w:tc>
        <w:tc>
          <w:tcPr>
            <w:tcW w:w="1701" w:type="dxa"/>
            <w:shd w:val="clear" w:color="auto" w:fill="E8E8E8" w:themeFill="background2"/>
            <w:vAlign w:val="center"/>
          </w:tcPr>
          <w:p w14:paraId="69BA359C" w14:textId="772167FA" w:rsidR="003C3260" w:rsidRPr="00F2158D" w:rsidRDefault="003C3260" w:rsidP="00BF57FE">
            <w:pPr>
              <w:rPr>
                <w:b/>
                <w:bCs/>
              </w:rPr>
            </w:pPr>
            <w:r>
              <w:rPr>
                <w:b/>
                <w:bCs/>
              </w:rPr>
              <w:t>DCB 0160 Hazard IDs</w:t>
            </w:r>
          </w:p>
        </w:tc>
        <w:tc>
          <w:tcPr>
            <w:tcW w:w="4961" w:type="dxa"/>
            <w:shd w:val="clear" w:color="auto" w:fill="E8E8E8" w:themeFill="background2"/>
            <w:vAlign w:val="center"/>
          </w:tcPr>
          <w:p w14:paraId="424E4176" w14:textId="69D34991" w:rsidR="003C3260" w:rsidRDefault="003C3260" w:rsidP="00BF57FE">
            <w:r w:rsidRPr="00F2158D">
              <w:rPr>
                <w:b/>
                <w:bCs/>
              </w:rPr>
              <w:t>Digital Onboarding Coverage (deployment activity + doc ref)</w:t>
            </w:r>
          </w:p>
        </w:tc>
        <w:tc>
          <w:tcPr>
            <w:tcW w:w="1417" w:type="dxa"/>
            <w:shd w:val="clear" w:color="auto" w:fill="E8E8E8" w:themeFill="background2"/>
            <w:vAlign w:val="center"/>
          </w:tcPr>
          <w:p w14:paraId="4F321E96" w14:textId="04E2B2AF" w:rsidR="003C3260" w:rsidRDefault="003C3260" w:rsidP="00BF57FE">
            <w:r w:rsidRPr="00F2158D">
              <w:rPr>
                <w:b/>
                <w:bCs/>
              </w:rPr>
              <w:t>Coverage Level</w:t>
            </w:r>
          </w:p>
        </w:tc>
        <w:tc>
          <w:tcPr>
            <w:tcW w:w="6096" w:type="dxa"/>
            <w:shd w:val="clear" w:color="auto" w:fill="E8E8E8" w:themeFill="background2"/>
            <w:vAlign w:val="center"/>
          </w:tcPr>
          <w:p w14:paraId="50CC4EB6" w14:textId="07ED916F" w:rsidR="003C3260" w:rsidRDefault="003C3260" w:rsidP="00BF57FE">
            <w:r w:rsidRPr="00F2158D">
              <w:rPr>
                <w:b/>
                <w:bCs/>
              </w:rPr>
              <w:t>Notes / Rationale</w:t>
            </w:r>
          </w:p>
        </w:tc>
      </w:tr>
      <w:tr w:rsidR="003C3260" w14:paraId="67CC785E" w14:textId="77777777" w:rsidTr="00450B00">
        <w:trPr>
          <w:cantSplit/>
        </w:trPr>
        <w:tc>
          <w:tcPr>
            <w:tcW w:w="1271" w:type="dxa"/>
            <w:vAlign w:val="center"/>
          </w:tcPr>
          <w:p w14:paraId="66D3DC09" w14:textId="7A3E4AD3" w:rsidR="003C3260" w:rsidRPr="002218F6" w:rsidRDefault="003C3260" w:rsidP="00BF57FE">
            <w:pPr>
              <w:rPr>
                <w:sz w:val="22"/>
                <w:szCs w:val="22"/>
              </w:rPr>
            </w:pPr>
            <w:r w:rsidRPr="002218F6">
              <w:rPr>
                <w:b/>
                <w:bCs/>
                <w:sz w:val="22"/>
                <w:szCs w:val="22"/>
              </w:rPr>
              <w:t>Patient Identification &amp; Matching Errors</w:t>
            </w:r>
          </w:p>
        </w:tc>
        <w:tc>
          <w:tcPr>
            <w:tcW w:w="992" w:type="dxa"/>
            <w:vAlign w:val="center"/>
          </w:tcPr>
          <w:p w14:paraId="08E0FE6B" w14:textId="3FF10918" w:rsidR="003C3260" w:rsidRPr="002218F6" w:rsidRDefault="003C3260" w:rsidP="00BF57FE">
            <w:pPr>
              <w:rPr>
                <w:sz w:val="22"/>
                <w:szCs w:val="22"/>
              </w:rPr>
            </w:pPr>
            <w:r w:rsidRPr="002218F6">
              <w:rPr>
                <w:sz w:val="22"/>
                <w:szCs w:val="22"/>
              </w:rPr>
              <w:t>HAZ001</w:t>
            </w:r>
          </w:p>
        </w:tc>
        <w:tc>
          <w:tcPr>
            <w:tcW w:w="1276" w:type="dxa"/>
            <w:vAlign w:val="center"/>
          </w:tcPr>
          <w:p w14:paraId="3A8CF576" w14:textId="1CF6B949" w:rsidR="003C3260" w:rsidRPr="002218F6" w:rsidRDefault="003C3260" w:rsidP="00BF57FE">
            <w:pPr>
              <w:rPr>
                <w:sz w:val="22"/>
                <w:szCs w:val="22"/>
              </w:rPr>
            </w:pPr>
            <w:r w:rsidRPr="002218F6">
              <w:rPr>
                <w:sz w:val="22"/>
                <w:szCs w:val="22"/>
              </w:rPr>
              <w:t>Patient–image linkage</w:t>
            </w:r>
          </w:p>
        </w:tc>
        <w:tc>
          <w:tcPr>
            <w:tcW w:w="4111" w:type="dxa"/>
            <w:vAlign w:val="center"/>
          </w:tcPr>
          <w:p w14:paraId="4CB1783F" w14:textId="402ED7A6" w:rsidR="003C3260" w:rsidRPr="002218F6" w:rsidRDefault="003C3260" w:rsidP="00BF57FE">
            <w:pPr>
              <w:rPr>
                <w:sz w:val="22"/>
                <w:szCs w:val="22"/>
              </w:rPr>
            </w:pPr>
            <w:r w:rsidRPr="002218F6">
              <w:rPr>
                <w:sz w:val="22"/>
                <w:szCs w:val="22"/>
              </w:rPr>
              <w:t xml:space="preserve">Ensure </w:t>
            </w:r>
            <w:r w:rsidRPr="002218F6">
              <w:rPr>
                <w:b/>
                <w:bCs/>
                <w:sz w:val="22"/>
                <w:szCs w:val="22"/>
              </w:rPr>
              <w:t>local validation of patient identifiers</w:t>
            </w:r>
            <w:r w:rsidRPr="002218F6">
              <w:rPr>
                <w:sz w:val="22"/>
                <w:szCs w:val="22"/>
              </w:rPr>
              <w:t xml:space="preserve"> (NHS number, demographics) before using externally retrieved images/reports; enforce UI confirmation steps and local mismatch/escalation SOPs during NIR onboarding.</w:t>
            </w:r>
          </w:p>
        </w:tc>
        <w:tc>
          <w:tcPr>
            <w:tcW w:w="1701" w:type="dxa"/>
          </w:tcPr>
          <w:p w14:paraId="646A2683" w14:textId="69402707" w:rsidR="003C3260" w:rsidRPr="002218F6" w:rsidRDefault="00450B00" w:rsidP="00BF57FE">
            <w:pPr>
              <w:rPr>
                <w:sz w:val="22"/>
                <w:szCs w:val="22"/>
              </w:rPr>
            </w:pPr>
            <w:r w:rsidRPr="00450B00">
              <w:rPr>
                <w:sz w:val="22"/>
                <w:szCs w:val="22"/>
              </w:rPr>
              <w:t>HAZ014 – Misinterpretation of Metadata / Missing Images</w:t>
            </w:r>
          </w:p>
        </w:tc>
        <w:tc>
          <w:tcPr>
            <w:tcW w:w="4961" w:type="dxa"/>
            <w:vAlign w:val="center"/>
          </w:tcPr>
          <w:p w14:paraId="6013C2A3" w14:textId="27A79E21" w:rsidR="003C3260" w:rsidRPr="002218F6" w:rsidRDefault="003C3260" w:rsidP="00BF57FE">
            <w:pPr>
              <w:spacing w:after="160" w:line="278" w:lineRule="auto"/>
              <w:rPr>
                <w:sz w:val="22"/>
                <w:szCs w:val="22"/>
              </w:rPr>
            </w:pPr>
            <w:r w:rsidRPr="002218F6">
              <w:rPr>
                <w:sz w:val="22"/>
                <w:szCs w:val="22"/>
              </w:rPr>
              <w:t>DPIA defines responsibilities for accurate identifiers, federated discovery, and local validation of patient data flows.</w:t>
            </w:r>
          </w:p>
          <w:p w14:paraId="4F5EF48F" w14:textId="711EBE0E" w:rsidR="003C3260" w:rsidRPr="002218F6" w:rsidRDefault="003C3260" w:rsidP="00BF57FE">
            <w:pPr>
              <w:rPr>
                <w:sz w:val="22"/>
                <w:szCs w:val="22"/>
              </w:rPr>
            </w:pPr>
            <w:r w:rsidRPr="002218F6">
              <w:rPr>
                <w:sz w:val="22"/>
                <w:szCs w:val="22"/>
              </w:rPr>
              <w:t>Trust Model &amp; Security Strategy define authenticated, trusted endpoints but not local UI confirmation flows.</w:t>
            </w:r>
          </w:p>
        </w:tc>
        <w:tc>
          <w:tcPr>
            <w:tcW w:w="1417" w:type="dxa"/>
            <w:vAlign w:val="center"/>
          </w:tcPr>
          <w:p w14:paraId="08D8EC77" w14:textId="436E0CEE" w:rsidR="003C3260" w:rsidRPr="002218F6" w:rsidRDefault="003C3260" w:rsidP="00BF57FE">
            <w:pPr>
              <w:rPr>
                <w:sz w:val="22"/>
                <w:szCs w:val="22"/>
              </w:rPr>
            </w:pPr>
            <w:r w:rsidRPr="002218F6">
              <w:rPr>
                <w:b/>
                <w:bCs/>
                <w:sz w:val="22"/>
                <w:szCs w:val="22"/>
              </w:rPr>
              <w:t>Partial – additional control required</w:t>
            </w:r>
          </w:p>
        </w:tc>
        <w:tc>
          <w:tcPr>
            <w:tcW w:w="6096" w:type="dxa"/>
            <w:vAlign w:val="center"/>
          </w:tcPr>
          <w:p w14:paraId="04F454E5" w14:textId="6FF2EB63" w:rsidR="003C3260" w:rsidRPr="002218F6" w:rsidRDefault="003C3260" w:rsidP="00BF57FE">
            <w:pPr>
              <w:rPr>
                <w:sz w:val="22"/>
                <w:szCs w:val="22"/>
              </w:rPr>
            </w:pPr>
            <w:r w:rsidRPr="002218F6">
              <w:rPr>
                <w:sz w:val="22"/>
                <w:szCs w:val="22"/>
              </w:rPr>
              <w:t xml:space="preserve">National design ensures secure, authenticated exchange, but </w:t>
            </w:r>
            <w:r w:rsidRPr="002218F6">
              <w:rPr>
                <w:b/>
                <w:bCs/>
                <w:sz w:val="22"/>
                <w:szCs w:val="22"/>
              </w:rPr>
              <w:t>organisation-specific controls</w:t>
            </w:r>
            <w:r w:rsidRPr="002218F6">
              <w:rPr>
                <w:sz w:val="22"/>
                <w:szCs w:val="22"/>
              </w:rPr>
              <w:t xml:space="preserve"> (UI design, local validation checks, escalation SOPs, user training) must be implemented during deployment and supplier configuration. These need explicit inclusion in onboarding checklists and go-live criteria.</w:t>
            </w:r>
          </w:p>
        </w:tc>
      </w:tr>
      <w:tr w:rsidR="003C3260" w14:paraId="11181025" w14:textId="77777777" w:rsidTr="00450B00">
        <w:trPr>
          <w:cantSplit/>
        </w:trPr>
        <w:tc>
          <w:tcPr>
            <w:tcW w:w="1271" w:type="dxa"/>
            <w:vAlign w:val="center"/>
          </w:tcPr>
          <w:p w14:paraId="66023A80" w14:textId="42C98AAC" w:rsidR="003C3260" w:rsidRPr="002218F6" w:rsidRDefault="003C3260" w:rsidP="00BF57FE">
            <w:pPr>
              <w:rPr>
                <w:sz w:val="22"/>
                <w:szCs w:val="22"/>
              </w:rPr>
            </w:pPr>
            <w:r w:rsidRPr="002218F6">
              <w:rPr>
                <w:b/>
                <w:bCs/>
                <w:sz w:val="22"/>
                <w:szCs w:val="22"/>
              </w:rPr>
              <w:t>Security, Privacy &amp; Access Control Risks</w:t>
            </w:r>
          </w:p>
        </w:tc>
        <w:tc>
          <w:tcPr>
            <w:tcW w:w="992" w:type="dxa"/>
            <w:vAlign w:val="center"/>
          </w:tcPr>
          <w:p w14:paraId="2A32A6EF" w14:textId="553D2881" w:rsidR="003C3260" w:rsidRPr="002218F6" w:rsidRDefault="003C3260" w:rsidP="00BF57FE">
            <w:pPr>
              <w:rPr>
                <w:sz w:val="22"/>
                <w:szCs w:val="22"/>
              </w:rPr>
            </w:pPr>
            <w:r w:rsidRPr="002218F6">
              <w:rPr>
                <w:sz w:val="22"/>
                <w:szCs w:val="22"/>
              </w:rPr>
              <w:t>HAZ002</w:t>
            </w:r>
          </w:p>
        </w:tc>
        <w:tc>
          <w:tcPr>
            <w:tcW w:w="1276" w:type="dxa"/>
            <w:vAlign w:val="center"/>
          </w:tcPr>
          <w:p w14:paraId="743AF12B" w14:textId="2647BA4D" w:rsidR="003C3260" w:rsidRPr="002218F6" w:rsidRDefault="003C3260" w:rsidP="00BF57FE">
            <w:pPr>
              <w:rPr>
                <w:sz w:val="22"/>
                <w:szCs w:val="22"/>
              </w:rPr>
            </w:pPr>
            <w:r w:rsidRPr="002218F6">
              <w:rPr>
                <w:sz w:val="22"/>
                <w:szCs w:val="22"/>
              </w:rPr>
              <w:t>Unauthorised / inappropriate access</w:t>
            </w:r>
          </w:p>
        </w:tc>
        <w:tc>
          <w:tcPr>
            <w:tcW w:w="4111" w:type="dxa"/>
            <w:vAlign w:val="center"/>
          </w:tcPr>
          <w:p w14:paraId="1442F05E" w14:textId="28C2E2DB" w:rsidR="003C3260" w:rsidRPr="002218F6" w:rsidRDefault="003C3260" w:rsidP="00BF57FE">
            <w:pPr>
              <w:rPr>
                <w:sz w:val="22"/>
                <w:szCs w:val="22"/>
              </w:rPr>
            </w:pPr>
            <w:r w:rsidRPr="002218F6">
              <w:rPr>
                <w:sz w:val="22"/>
                <w:szCs w:val="22"/>
              </w:rPr>
              <w:t xml:space="preserve">Implement </w:t>
            </w:r>
            <w:r w:rsidRPr="002218F6">
              <w:rPr>
                <w:b/>
                <w:bCs/>
                <w:sz w:val="22"/>
                <w:szCs w:val="22"/>
              </w:rPr>
              <w:t>role-based access</w:t>
            </w:r>
            <w:r w:rsidRPr="002218F6">
              <w:rPr>
                <w:sz w:val="22"/>
                <w:szCs w:val="22"/>
              </w:rPr>
              <w:t>, joiners/leavers processes, certificate/key management, and local security training for NIR users and support teams as part of onboarding; confirm DSAs and IG approvals before enabling live traffic.</w:t>
            </w:r>
          </w:p>
        </w:tc>
        <w:tc>
          <w:tcPr>
            <w:tcW w:w="1701" w:type="dxa"/>
          </w:tcPr>
          <w:p w14:paraId="59A2BAD6" w14:textId="67EF49AE" w:rsidR="003C3260" w:rsidRPr="002218F6" w:rsidRDefault="00450B00" w:rsidP="00BF57FE">
            <w:pPr>
              <w:rPr>
                <w:sz w:val="22"/>
                <w:szCs w:val="22"/>
              </w:rPr>
            </w:pPr>
            <w:r w:rsidRPr="00450B00">
              <w:rPr>
                <w:sz w:val="22"/>
                <w:szCs w:val="22"/>
              </w:rPr>
              <w:t>HAZ012 – Access Control / Identity / IG</w:t>
            </w:r>
          </w:p>
        </w:tc>
        <w:tc>
          <w:tcPr>
            <w:tcW w:w="4961" w:type="dxa"/>
            <w:vAlign w:val="center"/>
          </w:tcPr>
          <w:p w14:paraId="5785BEF4" w14:textId="57545737" w:rsidR="003C3260" w:rsidRPr="002218F6" w:rsidRDefault="003C3260" w:rsidP="00BF57FE">
            <w:pPr>
              <w:spacing w:after="160" w:line="278" w:lineRule="auto"/>
              <w:rPr>
                <w:sz w:val="22"/>
                <w:szCs w:val="22"/>
              </w:rPr>
            </w:pPr>
            <w:r w:rsidRPr="002218F6">
              <w:rPr>
                <w:sz w:val="22"/>
                <w:szCs w:val="22"/>
              </w:rPr>
              <w:t>Security &amp; Compliance Strategy (</w:t>
            </w:r>
            <w:proofErr w:type="spellStart"/>
            <w:r w:rsidRPr="002218F6">
              <w:rPr>
                <w:sz w:val="22"/>
                <w:szCs w:val="22"/>
              </w:rPr>
              <w:t>mTLS</w:t>
            </w:r>
            <w:proofErr w:type="spellEnd"/>
            <w:r w:rsidRPr="002218F6">
              <w:rPr>
                <w:sz w:val="22"/>
                <w:szCs w:val="22"/>
              </w:rPr>
              <w:t>, WAF, defence-in-depth, least-privilege IAM).</w:t>
            </w:r>
          </w:p>
          <w:p w14:paraId="40FB76D9" w14:textId="77777777" w:rsidR="003C3260" w:rsidRPr="002218F6" w:rsidRDefault="003C3260" w:rsidP="00BF57FE">
            <w:pPr>
              <w:rPr>
                <w:sz w:val="22"/>
                <w:szCs w:val="22"/>
              </w:rPr>
            </w:pPr>
            <w:r w:rsidRPr="002218F6">
              <w:rPr>
                <w:sz w:val="22"/>
                <w:szCs w:val="22"/>
              </w:rPr>
              <w:t>NIR Security and Compliance Strategy</w:t>
            </w:r>
          </w:p>
          <w:p w14:paraId="0A0B455E" w14:textId="77777777" w:rsidR="003C3260" w:rsidRPr="002218F6" w:rsidRDefault="003C3260" w:rsidP="00BF57FE">
            <w:pPr>
              <w:spacing w:after="160" w:line="278" w:lineRule="auto"/>
              <w:rPr>
                <w:sz w:val="22"/>
                <w:szCs w:val="22"/>
              </w:rPr>
            </w:pPr>
            <w:r w:rsidRPr="002218F6">
              <w:rPr>
                <w:sz w:val="22"/>
                <w:szCs w:val="22"/>
              </w:rPr>
              <w:t>Trust Model (certificate hierarchy, SAML/XUA, OAuth/IUA).</w:t>
            </w:r>
          </w:p>
          <w:p w14:paraId="6D70D527" w14:textId="77777777" w:rsidR="003C3260" w:rsidRPr="002218F6" w:rsidRDefault="003C3260" w:rsidP="00BF57FE">
            <w:pPr>
              <w:rPr>
                <w:sz w:val="22"/>
                <w:szCs w:val="22"/>
              </w:rPr>
            </w:pPr>
            <w:r w:rsidRPr="002218F6">
              <w:rPr>
                <w:sz w:val="22"/>
                <w:szCs w:val="22"/>
              </w:rPr>
              <w:t>NIR Trust Model-v24-20250912_16</w:t>
            </w:r>
          </w:p>
          <w:p w14:paraId="670BEF6F" w14:textId="1CAE273D" w:rsidR="003C3260" w:rsidRPr="002218F6" w:rsidRDefault="003C3260" w:rsidP="00BF57FE">
            <w:pPr>
              <w:rPr>
                <w:sz w:val="22"/>
                <w:szCs w:val="22"/>
              </w:rPr>
            </w:pPr>
            <w:r w:rsidRPr="002218F6">
              <w:rPr>
                <w:sz w:val="22"/>
                <w:szCs w:val="22"/>
              </w:rPr>
              <w:t>DPIA details lawful basis, data sharing and IG controls.</w:t>
            </w:r>
          </w:p>
        </w:tc>
        <w:tc>
          <w:tcPr>
            <w:tcW w:w="1417" w:type="dxa"/>
            <w:vAlign w:val="center"/>
          </w:tcPr>
          <w:p w14:paraId="4FED5262" w14:textId="6024228E" w:rsidR="003C3260" w:rsidRPr="002218F6" w:rsidRDefault="003C3260" w:rsidP="00BF57FE">
            <w:pPr>
              <w:rPr>
                <w:sz w:val="22"/>
                <w:szCs w:val="22"/>
              </w:rPr>
            </w:pPr>
            <w:r w:rsidRPr="002218F6">
              <w:rPr>
                <w:b/>
                <w:bCs/>
                <w:sz w:val="22"/>
                <w:szCs w:val="22"/>
              </w:rPr>
              <w:t>Partial – additional control required</w:t>
            </w:r>
          </w:p>
        </w:tc>
        <w:tc>
          <w:tcPr>
            <w:tcW w:w="6096" w:type="dxa"/>
            <w:vAlign w:val="center"/>
          </w:tcPr>
          <w:p w14:paraId="5E7E6A5E" w14:textId="654E81CB" w:rsidR="003C3260" w:rsidRPr="002218F6" w:rsidRDefault="003C3260" w:rsidP="00BF57FE">
            <w:pPr>
              <w:rPr>
                <w:sz w:val="22"/>
                <w:szCs w:val="22"/>
              </w:rPr>
            </w:pPr>
            <w:r w:rsidRPr="002218F6">
              <w:rPr>
                <w:sz w:val="22"/>
                <w:szCs w:val="22"/>
              </w:rPr>
              <w:t xml:space="preserve">Central platform security is well-defined, but </w:t>
            </w:r>
            <w:r w:rsidRPr="002218F6">
              <w:rPr>
                <w:b/>
                <w:bCs/>
                <w:sz w:val="22"/>
                <w:szCs w:val="22"/>
              </w:rPr>
              <w:t>organisation-side controls</w:t>
            </w:r>
            <w:r w:rsidRPr="002218F6">
              <w:rPr>
                <w:sz w:val="22"/>
                <w:szCs w:val="22"/>
              </w:rPr>
              <w:t xml:space="preserve"> (RBAC mapping to clinical roles, JML processes, incident handling, local PKI practices) are only implied. Deployment packs should add explicit security onboarding steps and acceptance criteria for each connecting organisation.</w:t>
            </w:r>
          </w:p>
        </w:tc>
      </w:tr>
      <w:tr w:rsidR="003C3260" w14:paraId="35202B11" w14:textId="77777777" w:rsidTr="00450B00">
        <w:trPr>
          <w:cantSplit/>
        </w:trPr>
        <w:tc>
          <w:tcPr>
            <w:tcW w:w="1271" w:type="dxa"/>
            <w:vAlign w:val="center"/>
          </w:tcPr>
          <w:p w14:paraId="12BE5B07" w14:textId="48D9B270" w:rsidR="003C3260" w:rsidRPr="002218F6" w:rsidRDefault="003C3260" w:rsidP="00BF57FE">
            <w:pPr>
              <w:rPr>
                <w:sz w:val="22"/>
                <w:szCs w:val="22"/>
              </w:rPr>
            </w:pPr>
            <w:r w:rsidRPr="002218F6">
              <w:rPr>
                <w:b/>
                <w:bCs/>
                <w:sz w:val="22"/>
                <w:szCs w:val="22"/>
              </w:rPr>
              <w:t>System Availability / Access</w:t>
            </w:r>
          </w:p>
        </w:tc>
        <w:tc>
          <w:tcPr>
            <w:tcW w:w="992" w:type="dxa"/>
            <w:vAlign w:val="center"/>
          </w:tcPr>
          <w:p w14:paraId="633002DA" w14:textId="0FD62B48" w:rsidR="003C3260" w:rsidRPr="002218F6" w:rsidRDefault="003C3260" w:rsidP="00BF57FE">
            <w:pPr>
              <w:rPr>
                <w:sz w:val="22"/>
                <w:szCs w:val="22"/>
              </w:rPr>
            </w:pPr>
            <w:r w:rsidRPr="002218F6">
              <w:rPr>
                <w:sz w:val="22"/>
                <w:szCs w:val="22"/>
              </w:rPr>
              <w:t>HAZ003, HAZ010</w:t>
            </w:r>
          </w:p>
        </w:tc>
        <w:tc>
          <w:tcPr>
            <w:tcW w:w="1276" w:type="dxa"/>
            <w:vAlign w:val="center"/>
          </w:tcPr>
          <w:p w14:paraId="43EA53DD" w14:textId="2647172A" w:rsidR="003C3260" w:rsidRPr="002218F6" w:rsidRDefault="003C3260" w:rsidP="00BF57FE">
            <w:pPr>
              <w:rPr>
                <w:sz w:val="22"/>
                <w:szCs w:val="22"/>
              </w:rPr>
            </w:pPr>
            <w:r w:rsidRPr="002218F6">
              <w:rPr>
                <w:sz w:val="22"/>
                <w:szCs w:val="22"/>
              </w:rPr>
              <w:t>Platform downtime &amp; lack of monitoring</w:t>
            </w:r>
          </w:p>
        </w:tc>
        <w:tc>
          <w:tcPr>
            <w:tcW w:w="4111" w:type="dxa"/>
            <w:vAlign w:val="center"/>
          </w:tcPr>
          <w:p w14:paraId="0FA029FE" w14:textId="10506DF8" w:rsidR="003C3260" w:rsidRPr="002218F6" w:rsidRDefault="003C3260" w:rsidP="00BF57FE">
            <w:pPr>
              <w:rPr>
                <w:sz w:val="22"/>
                <w:szCs w:val="22"/>
              </w:rPr>
            </w:pPr>
            <w:r w:rsidRPr="002218F6">
              <w:rPr>
                <w:sz w:val="22"/>
                <w:szCs w:val="22"/>
              </w:rPr>
              <w:t xml:space="preserve">Ensure </w:t>
            </w:r>
            <w:r w:rsidRPr="002218F6">
              <w:rPr>
                <w:b/>
                <w:bCs/>
                <w:sz w:val="22"/>
                <w:szCs w:val="22"/>
              </w:rPr>
              <w:t>HA/DR patterns are deployed as designed</w:t>
            </w:r>
            <w:r w:rsidRPr="002218F6">
              <w:rPr>
                <w:sz w:val="22"/>
                <w:szCs w:val="22"/>
              </w:rPr>
              <w:t>, with monitoring and alerting wired into local ITOC/service management; define and test clinical/business continuity (fallback to legacy imaging routes) before go-live.</w:t>
            </w:r>
          </w:p>
        </w:tc>
        <w:tc>
          <w:tcPr>
            <w:tcW w:w="1701" w:type="dxa"/>
          </w:tcPr>
          <w:p w14:paraId="398237FD" w14:textId="77777777" w:rsidR="00450B00" w:rsidRPr="00450B00" w:rsidRDefault="00450B00" w:rsidP="00450B00">
            <w:pPr>
              <w:rPr>
                <w:sz w:val="22"/>
                <w:szCs w:val="22"/>
              </w:rPr>
            </w:pPr>
            <w:r w:rsidRPr="00450B00">
              <w:rPr>
                <w:sz w:val="22"/>
                <w:szCs w:val="22"/>
              </w:rPr>
              <w:t>HAZ015 – System Access / Infrastructure Issues</w:t>
            </w:r>
          </w:p>
          <w:p w14:paraId="70B4400E" w14:textId="53AAC03F" w:rsidR="003C3260" w:rsidRPr="002218F6" w:rsidRDefault="00450B00" w:rsidP="00450B00">
            <w:pPr>
              <w:rPr>
                <w:sz w:val="22"/>
                <w:szCs w:val="22"/>
              </w:rPr>
            </w:pPr>
            <w:r w:rsidRPr="00450B00">
              <w:rPr>
                <w:sz w:val="22"/>
                <w:szCs w:val="22"/>
              </w:rPr>
              <w:t xml:space="preserve">HAZ016 – Certificate Expiry / </w:t>
            </w:r>
            <w:proofErr w:type="spellStart"/>
            <w:r w:rsidRPr="00450B00">
              <w:rPr>
                <w:sz w:val="22"/>
                <w:szCs w:val="22"/>
              </w:rPr>
              <w:t>mTLS</w:t>
            </w:r>
            <w:proofErr w:type="spellEnd"/>
            <w:r w:rsidRPr="00450B00">
              <w:rPr>
                <w:sz w:val="22"/>
                <w:szCs w:val="22"/>
              </w:rPr>
              <w:t xml:space="preserve"> Failure</w:t>
            </w:r>
          </w:p>
        </w:tc>
        <w:tc>
          <w:tcPr>
            <w:tcW w:w="4961" w:type="dxa"/>
            <w:vAlign w:val="center"/>
          </w:tcPr>
          <w:p w14:paraId="7897700C" w14:textId="52E6861F" w:rsidR="003C3260" w:rsidRPr="002218F6" w:rsidRDefault="003C3260" w:rsidP="00BF57FE">
            <w:pPr>
              <w:spacing w:after="160" w:line="278" w:lineRule="auto"/>
              <w:rPr>
                <w:sz w:val="22"/>
                <w:szCs w:val="22"/>
              </w:rPr>
            </w:pPr>
            <w:r w:rsidRPr="002218F6">
              <w:rPr>
                <w:sz w:val="22"/>
                <w:szCs w:val="22"/>
              </w:rPr>
              <w:t xml:space="preserve">Infrastructure Architecture describes multi-AZ design, HA patterns, DR strategy, and CI/CD deployment model. - NIR Infrastructure Architecture </w:t>
            </w:r>
          </w:p>
          <w:p w14:paraId="64B27BF6" w14:textId="77777777" w:rsidR="003C3260" w:rsidRPr="002218F6" w:rsidRDefault="003C3260" w:rsidP="00BF57FE">
            <w:pPr>
              <w:rPr>
                <w:sz w:val="22"/>
                <w:szCs w:val="22"/>
              </w:rPr>
            </w:pPr>
            <w:r w:rsidRPr="002218F6">
              <w:rPr>
                <w:sz w:val="22"/>
                <w:szCs w:val="22"/>
              </w:rPr>
              <w:t>NAT Gateway Scaling pattern supports throughput scaling for imaging workloads. - NIR - NAT Gateway Horizontal Scaling</w:t>
            </w:r>
          </w:p>
          <w:p w14:paraId="0E77AD8C" w14:textId="2E4A7318" w:rsidR="003C3260" w:rsidRPr="002218F6" w:rsidRDefault="003C3260" w:rsidP="00BF57FE">
            <w:pPr>
              <w:rPr>
                <w:sz w:val="22"/>
                <w:szCs w:val="22"/>
              </w:rPr>
            </w:pPr>
            <w:r w:rsidRPr="002218F6">
              <w:rPr>
                <w:sz w:val="22"/>
                <w:szCs w:val="22"/>
              </w:rPr>
              <w:t>Observability &amp; Logging Strategy plus Reporting Dashboard KPIs define monitoring/alerting and availability metrics.</w:t>
            </w:r>
          </w:p>
        </w:tc>
        <w:tc>
          <w:tcPr>
            <w:tcW w:w="1417" w:type="dxa"/>
            <w:vAlign w:val="center"/>
          </w:tcPr>
          <w:p w14:paraId="20499726" w14:textId="792E3AAE" w:rsidR="003C3260" w:rsidRPr="002218F6" w:rsidRDefault="003C3260" w:rsidP="00BF57FE">
            <w:pPr>
              <w:rPr>
                <w:sz w:val="22"/>
                <w:szCs w:val="22"/>
              </w:rPr>
            </w:pPr>
            <w:r w:rsidRPr="002218F6">
              <w:rPr>
                <w:b/>
                <w:bCs/>
                <w:sz w:val="22"/>
                <w:szCs w:val="22"/>
              </w:rPr>
              <w:t>Partial – additional control required</w:t>
            </w:r>
          </w:p>
        </w:tc>
        <w:tc>
          <w:tcPr>
            <w:tcW w:w="6096" w:type="dxa"/>
            <w:vAlign w:val="center"/>
          </w:tcPr>
          <w:p w14:paraId="423844A0" w14:textId="7D8E12AE" w:rsidR="003C3260" w:rsidRPr="002218F6" w:rsidRDefault="003C3260" w:rsidP="00BF57FE">
            <w:pPr>
              <w:rPr>
                <w:sz w:val="22"/>
                <w:szCs w:val="22"/>
              </w:rPr>
            </w:pPr>
            <w:r w:rsidRPr="002218F6">
              <w:rPr>
                <w:sz w:val="22"/>
                <w:szCs w:val="22"/>
              </w:rPr>
              <w:t xml:space="preserve">Platform-level availability and monitoring are covered, but </w:t>
            </w:r>
            <w:r w:rsidRPr="002218F6">
              <w:rPr>
                <w:b/>
                <w:bCs/>
                <w:sz w:val="22"/>
                <w:szCs w:val="22"/>
              </w:rPr>
              <w:t>consumer-side resilience</w:t>
            </w:r>
            <w:r w:rsidRPr="002218F6">
              <w:rPr>
                <w:sz w:val="22"/>
                <w:szCs w:val="22"/>
              </w:rPr>
              <w:t xml:space="preserve"> (local runbooks, NIR vs local PACS failover rules, on-call arrangements, alert routing into local ITSM tools) depend on deployment work. These should be written into onboarding plans and proven in dress rehearsal testing.</w:t>
            </w:r>
          </w:p>
        </w:tc>
      </w:tr>
      <w:tr w:rsidR="003C3260" w14:paraId="4BA8FE81" w14:textId="77777777" w:rsidTr="00450B00">
        <w:trPr>
          <w:cantSplit/>
        </w:trPr>
        <w:tc>
          <w:tcPr>
            <w:tcW w:w="1271" w:type="dxa"/>
            <w:vAlign w:val="center"/>
          </w:tcPr>
          <w:p w14:paraId="316DCBDC" w14:textId="629F573D" w:rsidR="003C3260" w:rsidRPr="002218F6" w:rsidRDefault="003C3260" w:rsidP="00BF57FE">
            <w:pPr>
              <w:rPr>
                <w:sz w:val="22"/>
                <w:szCs w:val="22"/>
              </w:rPr>
            </w:pPr>
            <w:r w:rsidRPr="002218F6">
              <w:rPr>
                <w:b/>
                <w:bCs/>
                <w:sz w:val="22"/>
                <w:szCs w:val="22"/>
              </w:rPr>
              <w:t>Data Quality &amp; Metadata Integrity</w:t>
            </w:r>
          </w:p>
        </w:tc>
        <w:tc>
          <w:tcPr>
            <w:tcW w:w="992" w:type="dxa"/>
            <w:vAlign w:val="center"/>
          </w:tcPr>
          <w:p w14:paraId="2E20E8C5" w14:textId="4E6F8596" w:rsidR="003C3260" w:rsidRPr="002218F6" w:rsidRDefault="003C3260" w:rsidP="00BF57FE">
            <w:pPr>
              <w:rPr>
                <w:sz w:val="22"/>
                <w:szCs w:val="22"/>
              </w:rPr>
            </w:pPr>
            <w:r w:rsidRPr="002218F6">
              <w:rPr>
                <w:sz w:val="22"/>
                <w:szCs w:val="22"/>
              </w:rPr>
              <w:t>HAZ004, HAZ007</w:t>
            </w:r>
          </w:p>
        </w:tc>
        <w:tc>
          <w:tcPr>
            <w:tcW w:w="1276" w:type="dxa"/>
            <w:vAlign w:val="center"/>
          </w:tcPr>
          <w:p w14:paraId="3F8E8CE2" w14:textId="2764A662" w:rsidR="003C3260" w:rsidRPr="002218F6" w:rsidRDefault="003C3260" w:rsidP="00BF57FE">
            <w:pPr>
              <w:rPr>
                <w:sz w:val="22"/>
                <w:szCs w:val="22"/>
              </w:rPr>
            </w:pPr>
            <w:r w:rsidRPr="002218F6">
              <w:rPr>
                <w:sz w:val="22"/>
                <w:szCs w:val="22"/>
              </w:rPr>
              <w:t>Image quality, completeness &amp; integrity of data</w:t>
            </w:r>
          </w:p>
        </w:tc>
        <w:tc>
          <w:tcPr>
            <w:tcW w:w="4111" w:type="dxa"/>
            <w:vAlign w:val="center"/>
          </w:tcPr>
          <w:p w14:paraId="5ABF803C" w14:textId="5B4FBDBD" w:rsidR="003C3260" w:rsidRPr="002218F6" w:rsidRDefault="003C3260" w:rsidP="00BF57FE">
            <w:pPr>
              <w:rPr>
                <w:sz w:val="22"/>
                <w:szCs w:val="22"/>
              </w:rPr>
            </w:pPr>
            <w:r w:rsidRPr="002218F6">
              <w:rPr>
                <w:sz w:val="22"/>
                <w:szCs w:val="22"/>
              </w:rPr>
              <w:t xml:space="preserve">Require </w:t>
            </w:r>
            <w:r w:rsidRPr="002218F6">
              <w:rPr>
                <w:b/>
                <w:bCs/>
                <w:sz w:val="22"/>
                <w:szCs w:val="22"/>
              </w:rPr>
              <w:t>supplier data quality checks</w:t>
            </w:r>
            <w:r w:rsidRPr="002218F6">
              <w:rPr>
                <w:sz w:val="22"/>
                <w:szCs w:val="22"/>
              </w:rPr>
              <w:t xml:space="preserve"> during onboarding: correct metadata mapping (IDs, accession numbers, study descriptors), completeness of returned studies, and verification of no corruption across XCA/MHDS flows; define operational processes for ongoing data-quality monitoring and correction.</w:t>
            </w:r>
          </w:p>
        </w:tc>
        <w:tc>
          <w:tcPr>
            <w:tcW w:w="1701" w:type="dxa"/>
          </w:tcPr>
          <w:p w14:paraId="2763EC5C" w14:textId="77777777" w:rsidR="00450B00" w:rsidRPr="00450B00" w:rsidRDefault="00450B00" w:rsidP="00450B00">
            <w:pPr>
              <w:rPr>
                <w:sz w:val="22"/>
                <w:szCs w:val="22"/>
              </w:rPr>
            </w:pPr>
            <w:r w:rsidRPr="00450B00">
              <w:rPr>
                <w:sz w:val="22"/>
                <w:szCs w:val="22"/>
              </w:rPr>
              <w:t>HAZ011 – Incorrect Local Configuration</w:t>
            </w:r>
          </w:p>
          <w:p w14:paraId="7C94CEB2" w14:textId="3F6F5DC3" w:rsidR="003C3260" w:rsidRPr="002218F6" w:rsidRDefault="00450B00" w:rsidP="00450B00">
            <w:pPr>
              <w:rPr>
                <w:sz w:val="22"/>
                <w:szCs w:val="22"/>
              </w:rPr>
            </w:pPr>
            <w:r w:rsidRPr="00450B00">
              <w:rPr>
                <w:sz w:val="22"/>
                <w:szCs w:val="22"/>
              </w:rPr>
              <w:t>HAZ014 – Misinterpretation of Metadata / Missing Images</w:t>
            </w:r>
          </w:p>
        </w:tc>
        <w:tc>
          <w:tcPr>
            <w:tcW w:w="4961" w:type="dxa"/>
            <w:vAlign w:val="center"/>
          </w:tcPr>
          <w:p w14:paraId="1D2EE815" w14:textId="4E0A4F66" w:rsidR="003C3260" w:rsidRPr="002218F6" w:rsidRDefault="003C3260" w:rsidP="00BF57FE">
            <w:pPr>
              <w:spacing w:after="160" w:line="278" w:lineRule="auto"/>
              <w:rPr>
                <w:sz w:val="22"/>
                <w:szCs w:val="22"/>
              </w:rPr>
            </w:pPr>
            <w:r w:rsidRPr="002218F6">
              <w:rPr>
                <w:sz w:val="22"/>
                <w:szCs w:val="22"/>
              </w:rPr>
              <w:t>DPIA and Product Brief highlight federated model and that source organisations remain data controllers responsible for quality of imaging data. Error Handling doc defines standardised error codes and logging for failed/partial queries. - NIR Error Handling-v33-2025091</w:t>
            </w:r>
            <w:r>
              <w:rPr>
                <w:sz w:val="22"/>
                <w:szCs w:val="22"/>
              </w:rPr>
              <w:t>2</w:t>
            </w:r>
          </w:p>
          <w:p w14:paraId="7FA7583B" w14:textId="2B8A411A" w:rsidR="003C3260" w:rsidRPr="002218F6" w:rsidRDefault="003C3260" w:rsidP="00BF57FE">
            <w:pPr>
              <w:rPr>
                <w:sz w:val="22"/>
                <w:szCs w:val="22"/>
              </w:rPr>
            </w:pPr>
            <w:r w:rsidRPr="002218F6">
              <w:rPr>
                <w:sz w:val="22"/>
                <w:szCs w:val="22"/>
              </w:rPr>
              <w:t>Reporting Dashboard spec includes KPIs around errors, usage and completeness. - NIR Reporting Management Dashboard.</w:t>
            </w:r>
          </w:p>
        </w:tc>
        <w:tc>
          <w:tcPr>
            <w:tcW w:w="1417" w:type="dxa"/>
            <w:vAlign w:val="center"/>
          </w:tcPr>
          <w:p w14:paraId="51F0D8DA" w14:textId="71F04341" w:rsidR="003C3260" w:rsidRPr="002218F6" w:rsidRDefault="003C3260" w:rsidP="00BF57FE">
            <w:pPr>
              <w:rPr>
                <w:sz w:val="22"/>
                <w:szCs w:val="22"/>
              </w:rPr>
            </w:pPr>
            <w:r w:rsidRPr="002218F6">
              <w:rPr>
                <w:b/>
                <w:bCs/>
                <w:sz w:val="22"/>
                <w:szCs w:val="22"/>
              </w:rPr>
              <w:t>Partial – additional control required</w:t>
            </w:r>
          </w:p>
        </w:tc>
        <w:tc>
          <w:tcPr>
            <w:tcW w:w="6096" w:type="dxa"/>
            <w:vAlign w:val="center"/>
          </w:tcPr>
          <w:p w14:paraId="1FBC0222" w14:textId="29511963" w:rsidR="003C3260" w:rsidRPr="002218F6" w:rsidRDefault="003C3260" w:rsidP="00BF57FE">
            <w:pPr>
              <w:rPr>
                <w:sz w:val="22"/>
                <w:szCs w:val="22"/>
              </w:rPr>
            </w:pPr>
            <w:r w:rsidRPr="002218F6">
              <w:rPr>
                <w:sz w:val="22"/>
                <w:szCs w:val="22"/>
              </w:rPr>
              <w:t xml:space="preserve">The technical stack surfaces errors and supports monitoring, but </w:t>
            </w:r>
            <w:r w:rsidRPr="002218F6">
              <w:rPr>
                <w:b/>
                <w:bCs/>
                <w:sz w:val="22"/>
                <w:szCs w:val="22"/>
              </w:rPr>
              <w:t>explicit supplier-side data-quality tests</w:t>
            </w:r>
            <w:r w:rsidRPr="002218F6">
              <w:rPr>
                <w:sz w:val="22"/>
                <w:szCs w:val="22"/>
              </w:rPr>
              <w:t xml:space="preserve"> (test packs for metadata mapping, completeness checks, regression testing after config changes) are not fully described in existing docs. These should become mandatory steps in supplier onboarding and go-live sign-off.</w:t>
            </w:r>
          </w:p>
        </w:tc>
      </w:tr>
      <w:tr w:rsidR="003C3260" w14:paraId="752AF1AE" w14:textId="77777777" w:rsidTr="00450B00">
        <w:trPr>
          <w:cantSplit/>
        </w:trPr>
        <w:tc>
          <w:tcPr>
            <w:tcW w:w="1271" w:type="dxa"/>
            <w:vAlign w:val="center"/>
          </w:tcPr>
          <w:p w14:paraId="0E763EE5" w14:textId="15E2B639" w:rsidR="003C3260" w:rsidRPr="002218F6" w:rsidRDefault="003C3260" w:rsidP="00BF57FE">
            <w:pPr>
              <w:rPr>
                <w:sz w:val="22"/>
                <w:szCs w:val="22"/>
              </w:rPr>
            </w:pPr>
            <w:r w:rsidRPr="002218F6">
              <w:rPr>
                <w:b/>
                <w:bCs/>
                <w:sz w:val="22"/>
                <w:szCs w:val="22"/>
              </w:rPr>
              <w:lastRenderedPageBreak/>
              <w:t>Care Coordination</w:t>
            </w:r>
          </w:p>
        </w:tc>
        <w:tc>
          <w:tcPr>
            <w:tcW w:w="992" w:type="dxa"/>
            <w:vAlign w:val="center"/>
          </w:tcPr>
          <w:p w14:paraId="2D388291" w14:textId="2747BFB6" w:rsidR="003C3260" w:rsidRPr="002218F6" w:rsidRDefault="003C3260" w:rsidP="00BF57FE">
            <w:pPr>
              <w:rPr>
                <w:sz w:val="22"/>
                <w:szCs w:val="22"/>
              </w:rPr>
            </w:pPr>
            <w:r w:rsidRPr="002218F6">
              <w:rPr>
                <w:sz w:val="22"/>
                <w:szCs w:val="22"/>
              </w:rPr>
              <w:t>HAZ005</w:t>
            </w:r>
          </w:p>
        </w:tc>
        <w:tc>
          <w:tcPr>
            <w:tcW w:w="1276" w:type="dxa"/>
            <w:vAlign w:val="center"/>
          </w:tcPr>
          <w:p w14:paraId="6BF5B723" w14:textId="06926D4E" w:rsidR="003C3260" w:rsidRPr="002218F6" w:rsidRDefault="003C3260" w:rsidP="00BF57FE">
            <w:pPr>
              <w:rPr>
                <w:sz w:val="22"/>
                <w:szCs w:val="22"/>
              </w:rPr>
            </w:pPr>
            <w:r w:rsidRPr="002218F6">
              <w:rPr>
                <w:sz w:val="22"/>
                <w:szCs w:val="22"/>
              </w:rPr>
              <w:t>Workflow usability &amp; clinical coordination</w:t>
            </w:r>
          </w:p>
        </w:tc>
        <w:tc>
          <w:tcPr>
            <w:tcW w:w="4111" w:type="dxa"/>
            <w:vAlign w:val="center"/>
          </w:tcPr>
          <w:p w14:paraId="4C7F97F9" w14:textId="3A78080D" w:rsidR="003C3260" w:rsidRPr="002218F6" w:rsidRDefault="003C3260" w:rsidP="00BF57FE">
            <w:pPr>
              <w:rPr>
                <w:sz w:val="22"/>
                <w:szCs w:val="22"/>
              </w:rPr>
            </w:pPr>
            <w:r w:rsidRPr="002218F6">
              <w:rPr>
                <w:sz w:val="22"/>
                <w:szCs w:val="22"/>
              </w:rPr>
              <w:t xml:space="preserve">Introduce </w:t>
            </w:r>
            <w:r w:rsidRPr="002218F6">
              <w:rPr>
                <w:b/>
                <w:bCs/>
                <w:sz w:val="22"/>
                <w:szCs w:val="22"/>
              </w:rPr>
              <w:t>structured end-user training and workflow validation</w:t>
            </w:r>
            <w:r w:rsidRPr="002218F6">
              <w:rPr>
                <w:sz w:val="22"/>
                <w:szCs w:val="22"/>
              </w:rPr>
              <w:t xml:space="preserve"> to ensure clinicians understand when and how to use NIR within pathways (e.g. tumour boards, cross-network referrals), including safe fallback when NIR results are incomplete or unavailable.</w:t>
            </w:r>
          </w:p>
        </w:tc>
        <w:tc>
          <w:tcPr>
            <w:tcW w:w="1701" w:type="dxa"/>
          </w:tcPr>
          <w:p w14:paraId="335C1571" w14:textId="77777777" w:rsidR="00450B00" w:rsidRPr="00450B00" w:rsidRDefault="00450B00" w:rsidP="00450B00">
            <w:pPr>
              <w:rPr>
                <w:sz w:val="22"/>
                <w:szCs w:val="22"/>
              </w:rPr>
            </w:pPr>
            <w:r w:rsidRPr="00450B00">
              <w:rPr>
                <w:sz w:val="22"/>
                <w:szCs w:val="22"/>
              </w:rPr>
              <w:t>HAZ013 – Local Fallback Process Failure</w:t>
            </w:r>
          </w:p>
          <w:p w14:paraId="3D0DD952" w14:textId="6EAF51E9" w:rsidR="003C3260" w:rsidRPr="002218F6" w:rsidRDefault="00450B00" w:rsidP="00450B00">
            <w:pPr>
              <w:rPr>
                <w:sz w:val="22"/>
                <w:szCs w:val="22"/>
              </w:rPr>
            </w:pPr>
            <w:r w:rsidRPr="00450B00">
              <w:rPr>
                <w:sz w:val="22"/>
                <w:szCs w:val="22"/>
              </w:rPr>
              <w:t>HAZ019 – Lack of Appropriate User Training</w:t>
            </w:r>
          </w:p>
        </w:tc>
        <w:tc>
          <w:tcPr>
            <w:tcW w:w="4961" w:type="dxa"/>
            <w:vAlign w:val="center"/>
          </w:tcPr>
          <w:p w14:paraId="29D9B5D6" w14:textId="73CA9047" w:rsidR="003C3260" w:rsidRPr="002218F6" w:rsidRDefault="003C3260" w:rsidP="00BF57FE">
            <w:pPr>
              <w:spacing w:after="160" w:line="278" w:lineRule="auto"/>
              <w:rPr>
                <w:sz w:val="22"/>
                <w:szCs w:val="22"/>
              </w:rPr>
            </w:pPr>
            <w:r w:rsidRPr="002218F6">
              <w:rPr>
                <w:sz w:val="22"/>
                <w:szCs w:val="22"/>
              </w:rPr>
              <w:t>Product Brief sets high-level clinical use cases and benefits (reduced repeat imaging, improved coordination). - 01 NIR Product Brief-v3-2025062</w:t>
            </w:r>
          </w:p>
          <w:p w14:paraId="55F618C7" w14:textId="2021A7CA" w:rsidR="003C3260" w:rsidRPr="002218F6" w:rsidRDefault="003C3260" w:rsidP="00BF57FE">
            <w:pPr>
              <w:rPr>
                <w:sz w:val="22"/>
                <w:szCs w:val="22"/>
              </w:rPr>
            </w:pPr>
            <w:r w:rsidRPr="002218F6">
              <w:rPr>
                <w:sz w:val="22"/>
                <w:szCs w:val="22"/>
              </w:rPr>
              <w:t>DPIA references pathway validation and clinical working groups, but does not define deployment-time workflow training.</w:t>
            </w:r>
          </w:p>
        </w:tc>
        <w:tc>
          <w:tcPr>
            <w:tcW w:w="1417" w:type="dxa"/>
            <w:vAlign w:val="center"/>
          </w:tcPr>
          <w:p w14:paraId="5D2164A8" w14:textId="462EAA14" w:rsidR="003C3260" w:rsidRPr="002218F6" w:rsidRDefault="003C3260" w:rsidP="00BF57FE">
            <w:pPr>
              <w:rPr>
                <w:sz w:val="22"/>
                <w:szCs w:val="22"/>
              </w:rPr>
            </w:pPr>
            <w:r w:rsidRPr="002218F6">
              <w:rPr>
                <w:b/>
                <w:bCs/>
                <w:sz w:val="22"/>
                <w:szCs w:val="22"/>
              </w:rPr>
              <w:t>New safety-specific control</w:t>
            </w:r>
          </w:p>
        </w:tc>
        <w:tc>
          <w:tcPr>
            <w:tcW w:w="6096" w:type="dxa"/>
            <w:vAlign w:val="center"/>
          </w:tcPr>
          <w:p w14:paraId="651F5D1E" w14:textId="073F95DD" w:rsidR="003C3260" w:rsidRPr="002218F6" w:rsidRDefault="003C3260" w:rsidP="00BF57FE">
            <w:pPr>
              <w:rPr>
                <w:sz w:val="22"/>
                <w:szCs w:val="22"/>
              </w:rPr>
            </w:pPr>
            <w:r w:rsidRPr="002218F6">
              <w:rPr>
                <w:sz w:val="22"/>
                <w:szCs w:val="22"/>
              </w:rPr>
              <w:t xml:space="preserve">Current onboarding artefacts focus on infrastructure, security and data flows, </w:t>
            </w:r>
            <w:r w:rsidRPr="002218F6">
              <w:rPr>
                <w:b/>
                <w:bCs/>
                <w:sz w:val="22"/>
                <w:szCs w:val="22"/>
              </w:rPr>
              <w:t>not on detailed clinical workflow adoption</w:t>
            </w:r>
            <w:r w:rsidRPr="002218F6">
              <w:rPr>
                <w:sz w:val="22"/>
                <w:szCs w:val="22"/>
              </w:rPr>
              <w:t>. DSOM/supplier teams need a new safety control: structured onboarding playbook and training package for MDTs, radiology, and referring teams, including clinical safety messaging about limits of NIR data.</w:t>
            </w:r>
          </w:p>
        </w:tc>
      </w:tr>
      <w:tr w:rsidR="003C3260" w14:paraId="665F00E2" w14:textId="77777777" w:rsidTr="00450B00">
        <w:trPr>
          <w:cantSplit/>
        </w:trPr>
        <w:tc>
          <w:tcPr>
            <w:tcW w:w="1271" w:type="dxa"/>
            <w:vAlign w:val="center"/>
          </w:tcPr>
          <w:p w14:paraId="50AFDBA2" w14:textId="3575743C" w:rsidR="003C3260" w:rsidRPr="002218F6" w:rsidRDefault="003C3260" w:rsidP="00BF57FE">
            <w:pPr>
              <w:rPr>
                <w:sz w:val="22"/>
                <w:szCs w:val="22"/>
              </w:rPr>
            </w:pPr>
            <w:r w:rsidRPr="002218F6">
              <w:rPr>
                <w:b/>
                <w:bCs/>
                <w:sz w:val="22"/>
                <w:szCs w:val="22"/>
              </w:rPr>
              <w:t>Data Retrieval &amp; Availability Failures</w:t>
            </w:r>
          </w:p>
        </w:tc>
        <w:tc>
          <w:tcPr>
            <w:tcW w:w="992" w:type="dxa"/>
            <w:vAlign w:val="center"/>
          </w:tcPr>
          <w:p w14:paraId="3B94AC39" w14:textId="2D64F589" w:rsidR="003C3260" w:rsidRPr="002218F6" w:rsidRDefault="003C3260" w:rsidP="00BF57FE">
            <w:pPr>
              <w:rPr>
                <w:sz w:val="22"/>
                <w:szCs w:val="22"/>
              </w:rPr>
            </w:pPr>
            <w:r w:rsidRPr="002218F6">
              <w:rPr>
                <w:sz w:val="22"/>
                <w:szCs w:val="22"/>
              </w:rPr>
              <w:t>HAZ006</w:t>
            </w:r>
          </w:p>
        </w:tc>
        <w:tc>
          <w:tcPr>
            <w:tcW w:w="1276" w:type="dxa"/>
            <w:vAlign w:val="center"/>
          </w:tcPr>
          <w:p w14:paraId="519FE5DD" w14:textId="152C4FBB" w:rsidR="003C3260" w:rsidRPr="002218F6" w:rsidRDefault="003C3260" w:rsidP="00BF57FE">
            <w:pPr>
              <w:rPr>
                <w:sz w:val="22"/>
                <w:szCs w:val="22"/>
              </w:rPr>
            </w:pPr>
            <w:r w:rsidRPr="002218F6">
              <w:rPr>
                <w:sz w:val="22"/>
                <w:szCs w:val="22"/>
              </w:rPr>
              <w:t>Partial / failed retrievals</w:t>
            </w:r>
          </w:p>
        </w:tc>
        <w:tc>
          <w:tcPr>
            <w:tcW w:w="4111" w:type="dxa"/>
            <w:vAlign w:val="center"/>
          </w:tcPr>
          <w:p w14:paraId="7E424358" w14:textId="5FFB6CEF" w:rsidR="003C3260" w:rsidRPr="002218F6" w:rsidRDefault="003C3260" w:rsidP="00BF57FE">
            <w:pPr>
              <w:rPr>
                <w:sz w:val="22"/>
                <w:szCs w:val="22"/>
              </w:rPr>
            </w:pPr>
            <w:r w:rsidRPr="002218F6">
              <w:rPr>
                <w:sz w:val="22"/>
                <w:szCs w:val="22"/>
              </w:rPr>
              <w:t xml:space="preserve">Implement </w:t>
            </w:r>
            <w:r w:rsidRPr="002218F6">
              <w:rPr>
                <w:b/>
                <w:bCs/>
                <w:sz w:val="22"/>
                <w:szCs w:val="22"/>
              </w:rPr>
              <w:t>end-to-end retrieval testing</w:t>
            </w:r>
            <w:r w:rsidRPr="002218F6">
              <w:rPr>
                <w:sz w:val="22"/>
                <w:szCs w:val="22"/>
              </w:rPr>
              <w:t xml:space="preserve"> (including high-volume and edge cases), plus local SOPs for handling partial results (e.g. missing studies, timeouts) and clearly surfaced UI messaging; ensure observability and alerts are wired into local operations before switching to live traffic.</w:t>
            </w:r>
          </w:p>
        </w:tc>
        <w:tc>
          <w:tcPr>
            <w:tcW w:w="1701" w:type="dxa"/>
          </w:tcPr>
          <w:p w14:paraId="218DF046" w14:textId="77777777" w:rsidR="00450B00" w:rsidRPr="00450B00" w:rsidRDefault="00450B00" w:rsidP="00450B00">
            <w:pPr>
              <w:rPr>
                <w:sz w:val="22"/>
                <w:szCs w:val="22"/>
              </w:rPr>
            </w:pPr>
            <w:r w:rsidRPr="00450B00">
              <w:rPr>
                <w:sz w:val="22"/>
                <w:szCs w:val="22"/>
              </w:rPr>
              <w:t>HAZ011 – Incorrect Local Configuration</w:t>
            </w:r>
          </w:p>
          <w:p w14:paraId="3F4501E2" w14:textId="5D478099" w:rsidR="003C3260" w:rsidRPr="002218F6" w:rsidRDefault="00450B00" w:rsidP="00450B00">
            <w:pPr>
              <w:rPr>
                <w:sz w:val="22"/>
                <w:szCs w:val="22"/>
              </w:rPr>
            </w:pPr>
            <w:r w:rsidRPr="00450B00">
              <w:rPr>
                <w:sz w:val="22"/>
                <w:szCs w:val="22"/>
              </w:rPr>
              <w:t>HAZ015 – System Access / Infrastructure Issues</w:t>
            </w:r>
          </w:p>
        </w:tc>
        <w:tc>
          <w:tcPr>
            <w:tcW w:w="4961" w:type="dxa"/>
            <w:vAlign w:val="center"/>
          </w:tcPr>
          <w:p w14:paraId="4B8EE8E9" w14:textId="5756FD6C" w:rsidR="003C3260" w:rsidRPr="002218F6" w:rsidRDefault="003C3260" w:rsidP="00BF57FE">
            <w:pPr>
              <w:spacing w:after="160" w:line="278" w:lineRule="auto"/>
              <w:rPr>
                <w:sz w:val="22"/>
                <w:szCs w:val="22"/>
              </w:rPr>
            </w:pPr>
            <w:r w:rsidRPr="002218F6">
              <w:rPr>
                <w:sz w:val="22"/>
                <w:szCs w:val="22"/>
              </w:rPr>
              <w:t>Error Handling document specifies how XCA/XDS errors are surfaced, coded and logged, and provides reference structures for clients to interpret failures. - NIR Error Handling-v33-20250912…</w:t>
            </w:r>
          </w:p>
          <w:p w14:paraId="4F1E9508" w14:textId="448A158D" w:rsidR="003C3260" w:rsidRPr="002218F6" w:rsidRDefault="003C3260" w:rsidP="00BF57FE">
            <w:pPr>
              <w:rPr>
                <w:sz w:val="22"/>
                <w:szCs w:val="22"/>
              </w:rPr>
            </w:pPr>
            <w:r w:rsidRPr="002218F6">
              <w:rPr>
                <w:sz w:val="22"/>
                <w:szCs w:val="22"/>
              </w:rPr>
              <w:t>Observability &amp; Logging Strategy plus Reporting Dashboard KPIs describe metrics for errors, success rates and performance. Infrastructure Architecture and NAT Scaling pattern address capacity-related failures.</w:t>
            </w:r>
          </w:p>
        </w:tc>
        <w:tc>
          <w:tcPr>
            <w:tcW w:w="1417" w:type="dxa"/>
            <w:vAlign w:val="center"/>
          </w:tcPr>
          <w:p w14:paraId="63483CBB" w14:textId="00699313" w:rsidR="003C3260" w:rsidRPr="002218F6" w:rsidRDefault="003C3260" w:rsidP="00BF57FE">
            <w:pPr>
              <w:rPr>
                <w:sz w:val="22"/>
                <w:szCs w:val="22"/>
              </w:rPr>
            </w:pPr>
            <w:r w:rsidRPr="002218F6">
              <w:rPr>
                <w:b/>
                <w:bCs/>
                <w:sz w:val="22"/>
                <w:szCs w:val="22"/>
              </w:rPr>
              <w:t>Partial – additional control required</w:t>
            </w:r>
          </w:p>
        </w:tc>
        <w:tc>
          <w:tcPr>
            <w:tcW w:w="6096" w:type="dxa"/>
            <w:vAlign w:val="center"/>
          </w:tcPr>
          <w:p w14:paraId="654EB031" w14:textId="6D3BF300" w:rsidR="003C3260" w:rsidRPr="002218F6" w:rsidRDefault="003C3260" w:rsidP="00BF57FE">
            <w:pPr>
              <w:rPr>
                <w:sz w:val="22"/>
                <w:szCs w:val="22"/>
              </w:rPr>
            </w:pPr>
            <w:r w:rsidRPr="002218F6">
              <w:rPr>
                <w:sz w:val="22"/>
                <w:szCs w:val="22"/>
              </w:rPr>
              <w:t xml:space="preserve">Platform defines </w:t>
            </w:r>
            <w:r w:rsidRPr="002218F6">
              <w:rPr>
                <w:b/>
                <w:bCs/>
                <w:sz w:val="22"/>
                <w:szCs w:val="22"/>
              </w:rPr>
              <w:t>how</w:t>
            </w:r>
            <w:r w:rsidRPr="002218F6">
              <w:rPr>
                <w:sz w:val="22"/>
                <w:szCs w:val="22"/>
              </w:rPr>
              <w:t xml:space="preserve"> failures are reported, but organisations still need: 1) local client behaviour definitions (retries, user messages), 2) service-desk and clinical escalation SOPs, and 3) acceptance tests proving behaviour under failure. These are deployment-specific safety controls and should be added to onboarding plans.</w:t>
            </w:r>
          </w:p>
        </w:tc>
      </w:tr>
      <w:tr w:rsidR="003C3260" w14:paraId="5966C07B" w14:textId="77777777" w:rsidTr="00450B00">
        <w:trPr>
          <w:cantSplit/>
        </w:trPr>
        <w:tc>
          <w:tcPr>
            <w:tcW w:w="1271" w:type="dxa"/>
            <w:vAlign w:val="center"/>
          </w:tcPr>
          <w:p w14:paraId="07B83136" w14:textId="75F8FF3B" w:rsidR="003C3260" w:rsidRPr="002218F6" w:rsidRDefault="003C3260" w:rsidP="00BF57FE">
            <w:pPr>
              <w:rPr>
                <w:sz w:val="22"/>
                <w:szCs w:val="22"/>
              </w:rPr>
            </w:pPr>
            <w:r w:rsidRPr="002218F6">
              <w:rPr>
                <w:b/>
                <w:bCs/>
                <w:sz w:val="22"/>
                <w:szCs w:val="22"/>
              </w:rPr>
              <w:t>Governance &amp; Operational Risks</w:t>
            </w:r>
          </w:p>
        </w:tc>
        <w:tc>
          <w:tcPr>
            <w:tcW w:w="992" w:type="dxa"/>
            <w:vAlign w:val="center"/>
          </w:tcPr>
          <w:p w14:paraId="528676F0" w14:textId="2FE6428F" w:rsidR="003C3260" w:rsidRPr="002218F6" w:rsidRDefault="003C3260" w:rsidP="00BF57FE">
            <w:pPr>
              <w:rPr>
                <w:sz w:val="22"/>
                <w:szCs w:val="22"/>
              </w:rPr>
            </w:pPr>
            <w:r w:rsidRPr="002218F6">
              <w:rPr>
                <w:sz w:val="22"/>
                <w:szCs w:val="22"/>
              </w:rPr>
              <w:t>HAZ008</w:t>
            </w:r>
          </w:p>
        </w:tc>
        <w:tc>
          <w:tcPr>
            <w:tcW w:w="1276" w:type="dxa"/>
            <w:vAlign w:val="center"/>
          </w:tcPr>
          <w:p w14:paraId="0B8DA78A" w14:textId="2F943E0B" w:rsidR="003C3260" w:rsidRPr="002218F6" w:rsidRDefault="003C3260" w:rsidP="00BF57FE">
            <w:pPr>
              <w:rPr>
                <w:sz w:val="22"/>
                <w:szCs w:val="22"/>
              </w:rPr>
            </w:pPr>
            <w:r w:rsidRPr="002218F6">
              <w:rPr>
                <w:sz w:val="22"/>
                <w:szCs w:val="22"/>
              </w:rPr>
              <w:t>Audit, logging &amp; reporting</w:t>
            </w:r>
          </w:p>
        </w:tc>
        <w:tc>
          <w:tcPr>
            <w:tcW w:w="4111" w:type="dxa"/>
            <w:vAlign w:val="center"/>
          </w:tcPr>
          <w:p w14:paraId="5460FE25" w14:textId="651CFA85" w:rsidR="003C3260" w:rsidRPr="002218F6" w:rsidRDefault="003C3260" w:rsidP="00BF57FE">
            <w:pPr>
              <w:rPr>
                <w:sz w:val="22"/>
                <w:szCs w:val="22"/>
              </w:rPr>
            </w:pPr>
            <w:r w:rsidRPr="002218F6">
              <w:rPr>
                <w:sz w:val="22"/>
                <w:szCs w:val="22"/>
              </w:rPr>
              <w:t xml:space="preserve">Ensure </w:t>
            </w:r>
            <w:r w:rsidRPr="002218F6">
              <w:rPr>
                <w:b/>
                <w:bCs/>
                <w:sz w:val="22"/>
                <w:szCs w:val="22"/>
              </w:rPr>
              <w:t>audit logging, reporting dashboards and governance routines</w:t>
            </w:r>
            <w:r w:rsidRPr="002218F6">
              <w:rPr>
                <w:sz w:val="22"/>
                <w:szCs w:val="22"/>
              </w:rPr>
              <w:t xml:space="preserve"> (monthly service reviews, error trend review, network-level KPIs) are implemented as described; confirm that consuming organisations know how to access and act on audit data.</w:t>
            </w:r>
          </w:p>
        </w:tc>
        <w:tc>
          <w:tcPr>
            <w:tcW w:w="1701" w:type="dxa"/>
          </w:tcPr>
          <w:p w14:paraId="661BDB70" w14:textId="77777777" w:rsidR="00450B00" w:rsidRPr="00450B00" w:rsidRDefault="00450B00" w:rsidP="00450B00">
            <w:pPr>
              <w:rPr>
                <w:sz w:val="22"/>
                <w:szCs w:val="22"/>
              </w:rPr>
            </w:pPr>
            <w:r w:rsidRPr="00450B00">
              <w:rPr>
                <w:sz w:val="22"/>
                <w:szCs w:val="22"/>
              </w:rPr>
              <w:t>HAZ017 – Local Audit Logging Failure</w:t>
            </w:r>
          </w:p>
          <w:p w14:paraId="48E4EBB9" w14:textId="55BE4070" w:rsidR="003C3260" w:rsidRPr="002218F6" w:rsidRDefault="00450B00" w:rsidP="00450B00">
            <w:pPr>
              <w:rPr>
                <w:sz w:val="22"/>
                <w:szCs w:val="22"/>
              </w:rPr>
            </w:pPr>
            <w:r w:rsidRPr="00450B00">
              <w:rPr>
                <w:sz w:val="22"/>
                <w:szCs w:val="22"/>
              </w:rPr>
              <w:t>HAZ018 – Local Incident Escalation Failure</w:t>
            </w:r>
          </w:p>
        </w:tc>
        <w:tc>
          <w:tcPr>
            <w:tcW w:w="4961" w:type="dxa"/>
            <w:vAlign w:val="center"/>
          </w:tcPr>
          <w:p w14:paraId="23C3A7F2" w14:textId="55661949" w:rsidR="003C3260" w:rsidRPr="002218F6" w:rsidRDefault="003C3260" w:rsidP="00BF57FE">
            <w:pPr>
              <w:spacing w:after="160" w:line="278" w:lineRule="auto"/>
              <w:rPr>
                <w:sz w:val="22"/>
                <w:szCs w:val="22"/>
              </w:rPr>
            </w:pPr>
            <w:r w:rsidRPr="002218F6">
              <w:rPr>
                <w:sz w:val="22"/>
                <w:szCs w:val="22"/>
              </w:rPr>
              <w:t>Observability &amp; Logging Strategy defines structured application/event logs, metrics and integration with Splunk/CloudWatch. - NIR Observability and Logging Strategy</w:t>
            </w:r>
          </w:p>
          <w:p w14:paraId="240EAA69" w14:textId="77777777" w:rsidR="003C3260" w:rsidRPr="002218F6" w:rsidRDefault="003C3260" w:rsidP="00BF57FE">
            <w:pPr>
              <w:spacing w:after="160" w:line="278" w:lineRule="auto"/>
              <w:rPr>
                <w:sz w:val="22"/>
                <w:szCs w:val="22"/>
              </w:rPr>
            </w:pPr>
            <w:r w:rsidRPr="002218F6">
              <w:rPr>
                <w:sz w:val="22"/>
                <w:szCs w:val="22"/>
              </w:rPr>
              <w:t>Reporting Management Dashboard specification sets out KPIs for usage, error rates, availability and governance reporting. - NIR Reporting Management Dashboard</w:t>
            </w:r>
          </w:p>
          <w:p w14:paraId="2802C74E" w14:textId="61AC3A29" w:rsidR="003C3260" w:rsidRPr="002218F6" w:rsidRDefault="003C3260" w:rsidP="00BF57FE">
            <w:pPr>
              <w:rPr>
                <w:sz w:val="22"/>
                <w:szCs w:val="22"/>
              </w:rPr>
            </w:pPr>
            <w:r w:rsidRPr="002218F6">
              <w:rPr>
                <w:sz w:val="22"/>
                <w:szCs w:val="22"/>
              </w:rPr>
              <w:t>DPIA and Security &amp; Compliance Strategy emphasise audit, accountability and incident response.</w:t>
            </w:r>
          </w:p>
        </w:tc>
        <w:tc>
          <w:tcPr>
            <w:tcW w:w="1417" w:type="dxa"/>
            <w:vAlign w:val="center"/>
          </w:tcPr>
          <w:p w14:paraId="0DA4CA77" w14:textId="274023B1" w:rsidR="003C3260" w:rsidRPr="002218F6" w:rsidRDefault="003C3260" w:rsidP="00BF57FE">
            <w:pPr>
              <w:rPr>
                <w:sz w:val="22"/>
                <w:szCs w:val="22"/>
              </w:rPr>
            </w:pPr>
            <w:r w:rsidRPr="002218F6">
              <w:rPr>
                <w:b/>
                <w:bCs/>
                <w:sz w:val="22"/>
                <w:szCs w:val="22"/>
              </w:rPr>
              <w:t>Already part of deployment process</w:t>
            </w:r>
            <w:r w:rsidRPr="002218F6">
              <w:rPr>
                <w:sz w:val="22"/>
                <w:szCs w:val="22"/>
              </w:rPr>
              <w:t xml:space="preserve"> (with minor localisation)</w:t>
            </w:r>
          </w:p>
        </w:tc>
        <w:tc>
          <w:tcPr>
            <w:tcW w:w="6096" w:type="dxa"/>
            <w:vAlign w:val="center"/>
          </w:tcPr>
          <w:p w14:paraId="05F7E384" w14:textId="62A60D3F" w:rsidR="003C3260" w:rsidRPr="002218F6" w:rsidRDefault="003C3260" w:rsidP="00BF57FE">
            <w:pPr>
              <w:rPr>
                <w:sz w:val="22"/>
                <w:szCs w:val="22"/>
              </w:rPr>
            </w:pPr>
            <w:r w:rsidRPr="002218F6">
              <w:rPr>
                <w:sz w:val="22"/>
                <w:szCs w:val="22"/>
              </w:rPr>
              <w:t xml:space="preserve">Governance and reporting are </w:t>
            </w:r>
            <w:r w:rsidRPr="002218F6">
              <w:rPr>
                <w:b/>
                <w:bCs/>
                <w:sz w:val="22"/>
                <w:szCs w:val="22"/>
              </w:rPr>
              <w:t>explicitly designed into the solution and service model</w:t>
            </w:r>
            <w:r w:rsidRPr="002218F6">
              <w:rPr>
                <w:sz w:val="22"/>
                <w:szCs w:val="22"/>
              </w:rPr>
              <w:t>. Deployment work is mainly to hook consuming organisations into existing dashboards, agree local responsibilities, and verify that audit data meets IG and clinical-safety needs. No fundamentally new control is required, but local adoption steps should be tracked.</w:t>
            </w:r>
          </w:p>
        </w:tc>
      </w:tr>
      <w:tr w:rsidR="003C3260" w14:paraId="53C243C7" w14:textId="77777777" w:rsidTr="00450B00">
        <w:trPr>
          <w:cantSplit/>
        </w:trPr>
        <w:tc>
          <w:tcPr>
            <w:tcW w:w="1271" w:type="dxa"/>
            <w:vAlign w:val="center"/>
          </w:tcPr>
          <w:p w14:paraId="06ECACAC" w14:textId="5EAEFBF0" w:rsidR="003C3260" w:rsidRPr="002218F6" w:rsidRDefault="003C3260" w:rsidP="00BF57FE">
            <w:pPr>
              <w:rPr>
                <w:b/>
                <w:bCs/>
                <w:sz w:val="22"/>
                <w:szCs w:val="22"/>
              </w:rPr>
            </w:pPr>
            <w:r w:rsidRPr="002218F6">
              <w:rPr>
                <w:b/>
                <w:bCs/>
                <w:sz w:val="22"/>
                <w:szCs w:val="22"/>
              </w:rPr>
              <w:t>Interoperability &amp; Protocol Translation Issues</w:t>
            </w:r>
          </w:p>
        </w:tc>
        <w:tc>
          <w:tcPr>
            <w:tcW w:w="992" w:type="dxa"/>
            <w:vAlign w:val="center"/>
          </w:tcPr>
          <w:p w14:paraId="40A8F789" w14:textId="175722D3" w:rsidR="003C3260" w:rsidRPr="002218F6" w:rsidRDefault="003C3260" w:rsidP="00BF57FE">
            <w:pPr>
              <w:rPr>
                <w:sz w:val="22"/>
                <w:szCs w:val="22"/>
              </w:rPr>
            </w:pPr>
            <w:r w:rsidRPr="002218F6">
              <w:rPr>
                <w:sz w:val="22"/>
                <w:szCs w:val="22"/>
              </w:rPr>
              <w:t>HAZ009</w:t>
            </w:r>
          </w:p>
        </w:tc>
        <w:tc>
          <w:tcPr>
            <w:tcW w:w="1276" w:type="dxa"/>
            <w:vAlign w:val="center"/>
          </w:tcPr>
          <w:p w14:paraId="2D2D0D53" w14:textId="04DFB293" w:rsidR="003C3260" w:rsidRPr="002218F6" w:rsidRDefault="003C3260" w:rsidP="00BF57FE">
            <w:pPr>
              <w:rPr>
                <w:sz w:val="22"/>
                <w:szCs w:val="22"/>
              </w:rPr>
            </w:pPr>
            <w:r w:rsidRPr="002218F6">
              <w:rPr>
                <w:sz w:val="22"/>
                <w:szCs w:val="22"/>
              </w:rPr>
              <w:t>Supplier protocol readiness (XCA/MHDS)</w:t>
            </w:r>
          </w:p>
        </w:tc>
        <w:tc>
          <w:tcPr>
            <w:tcW w:w="4111" w:type="dxa"/>
            <w:vAlign w:val="center"/>
          </w:tcPr>
          <w:p w14:paraId="3464F8BA" w14:textId="14D2748B" w:rsidR="003C3260" w:rsidRPr="002218F6" w:rsidRDefault="003C3260" w:rsidP="00BF57FE">
            <w:pPr>
              <w:rPr>
                <w:sz w:val="22"/>
                <w:szCs w:val="22"/>
              </w:rPr>
            </w:pPr>
            <w:r w:rsidRPr="002218F6">
              <w:rPr>
                <w:sz w:val="22"/>
                <w:szCs w:val="22"/>
              </w:rPr>
              <w:t xml:space="preserve">Require </w:t>
            </w:r>
            <w:r w:rsidRPr="002218F6">
              <w:rPr>
                <w:b/>
                <w:bCs/>
                <w:sz w:val="22"/>
                <w:szCs w:val="22"/>
              </w:rPr>
              <w:t>formal technical onboarding and conformance testing</w:t>
            </w:r>
            <w:r w:rsidRPr="002218F6">
              <w:rPr>
                <w:sz w:val="22"/>
                <w:szCs w:val="22"/>
              </w:rPr>
              <w:t xml:space="preserve"> for each supplier: protocol support (XCA, MHDS, WADO-RS/WS), trust-model alignment, endpoint configuration, and regression testing when suppliers change versions; define fall-back paths where suppliers are not fully MHDS-ready.</w:t>
            </w:r>
          </w:p>
        </w:tc>
        <w:tc>
          <w:tcPr>
            <w:tcW w:w="1701" w:type="dxa"/>
          </w:tcPr>
          <w:p w14:paraId="0F751812" w14:textId="0C2D5376" w:rsidR="003C3260" w:rsidRPr="002218F6" w:rsidRDefault="00450B00" w:rsidP="00BF57FE">
            <w:pPr>
              <w:rPr>
                <w:sz w:val="22"/>
                <w:szCs w:val="22"/>
              </w:rPr>
            </w:pPr>
            <w:r w:rsidRPr="00450B00">
              <w:rPr>
                <w:sz w:val="22"/>
                <w:szCs w:val="22"/>
              </w:rPr>
              <w:t>HAZ011 – Incorrect Local Configuration</w:t>
            </w:r>
          </w:p>
        </w:tc>
        <w:tc>
          <w:tcPr>
            <w:tcW w:w="4961" w:type="dxa"/>
            <w:vAlign w:val="center"/>
          </w:tcPr>
          <w:p w14:paraId="68CDA261" w14:textId="1133E8C2" w:rsidR="003C3260" w:rsidRPr="002218F6" w:rsidRDefault="003C3260" w:rsidP="00BF57FE">
            <w:pPr>
              <w:spacing w:after="160" w:line="278" w:lineRule="auto"/>
              <w:rPr>
                <w:sz w:val="22"/>
                <w:szCs w:val="22"/>
              </w:rPr>
            </w:pPr>
            <w:r w:rsidRPr="002218F6">
              <w:rPr>
                <w:sz w:val="22"/>
                <w:szCs w:val="22"/>
              </w:rPr>
              <w:t xml:space="preserve">Product Brief and Infrastructure Architecture describe dual-standard approach (XCA &amp; MHDS) and NIR as proxy provider. Trust Model maps interaction profiles to </w:t>
            </w:r>
            <w:proofErr w:type="spellStart"/>
            <w:r w:rsidRPr="002218F6">
              <w:rPr>
                <w:sz w:val="22"/>
                <w:szCs w:val="22"/>
              </w:rPr>
              <w:t>mTLS</w:t>
            </w:r>
            <w:proofErr w:type="spellEnd"/>
            <w:r w:rsidRPr="002218F6">
              <w:rPr>
                <w:sz w:val="22"/>
                <w:szCs w:val="22"/>
              </w:rPr>
              <w:t>/WS-Security/OAuth mechanisms. - NIR Trust Model-v24-20250912_16</w:t>
            </w:r>
          </w:p>
          <w:p w14:paraId="20A6CDAA" w14:textId="33DB51AF" w:rsidR="003C3260" w:rsidRPr="002218F6" w:rsidRDefault="003C3260" w:rsidP="00BF57FE">
            <w:pPr>
              <w:rPr>
                <w:sz w:val="22"/>
                <w:szCs w:val="22"/>
              </w:rPr>
            </w:pPr>
            <w:r w:rsidRPr="002218F6">
              <w:rPr>
                <w:sz w:val="22"/>
                <w:szCs w:val="22"/>
              </w:rPr>
              <w:t>Error Handling provides technical reference for protocol-level errors. - NIR Error Handling-v33-20250912</w:t>
            </w:r>
          </w:p>
        </w:tc>
        <w:tc>
          <w:tcPr>
            <w:tcW w:w="1417" w:type="dxa"/>
            <w:vAlign w:val="center"/>
          </w:tcPr>
          <w:p w14:paraId="3A2CC149" w14:textId="7FD9765F" w:rsidR="003C3260" w:rsidRPr="002218F6" w:rsidRDefault="003C3260" w:rsidP="00BF57FE">
            <w:pPr>
              <w:rPr>
                <w:sz w:val="22"/>
                <w:szCs w:val="22"/>
              </w:rPr>
            </w:pPr>
            <w:r w:rsidRPr="002218F6">
              <w:rPr>
                <w:b/>
                <w:bCs/>
                <w:sz w:val="22"/>
                <w:szCs w:val="22"/>
              </w:rPr>
              <w:t>Partial – additional control required</w:t>
            </w:r>
          </w:p>
        </w:tc>
        <w:tc>
          <w:tcPr>
            <w:tcW w:w="6096" w:type="dxa"/>
            <w:vAlign w:val="center"/>
          </w:tcPr>
          <w:p w14:paraId="61FFCEC8" w14:textId="549F0582" w:rsidR="003C3260" w:rsidRPr="002218F6" w:rsidRDefault="003C3260" w:rsidP="00BF57FE">
            <w:pPr>
              <w:rPr>
                <w:sz w:val="22"/>
                <w:szCs w:val="22"/>
              </w:rPr>
            </w:pPr>
            <w:r w:rsidRPr="002218F6">
              <w:rPr>
                <w:sz w:val="22"/>
                <w:szCs w:val="22"/>
              </w:rPr>
              <w:t xml:space="preserve">The architecture anticipates mixed protocol maturity, but </w:t>
            </w:r>
            <w:r w:rsidRPr="002218F6">
              <w:rPr>
                <w:b/>
                <w:bCs/>
                <w:sz w:val="22"/>
                <w:szCs w:val="22"/>
              </w:rPr>
              <w:t>supplier conformance testing and go-live gates</w:t>
            </w:r>
            <w:r w:rsidRPr="002218F6">
              <w:rPr>
                <w:sz w:val="22"/>
                <w:szCs w:val="22"/>
              </w:rPr>
              <w:t xml:space="preserve"> (test scripts, pass/fail criteria, handling for partial MHDS capability) must be run as part of deployment. These need to be codified as explicit onboarding checks owned by DSOM / integration leads.</w:t>
            </w:r>
          </w:p>
        </w:tc>
      </w:tr>
    </w:tbl>
    <w:p w14:paraId="32F482D5" w14:textId="1CE1F4DF" w:rsidR="00F2158D" w:rsidRDefault="00F2158D"/>
    <w:sectPr w:rsidR="00F2158D" w:rsidSect="00F2158D">
      <w:pgSz w:w="23811" w:h="16838" w:orient="landscape" w:code="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1402BC5"/>
    <w:multiLevelType w:val="hybridMultilevel"/>
    <w:tmpl w:val="AF84E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CE40D8E"/>
    <w:multiLevelType w:val="hybridMultilevel"/>
    <w:tmpl w:val="58203E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2FC1B4F"/>
    <w:multiLevelType w:val="hybridMultilevel"/>
    <w:tmpl w:val="8D080FAA"/>
    <w:lvl w:ilvl="0" w:tplc="2902A780">
      <w:numFmt w:val="bullet"/>
      <w:lvlText w:val="-"/>
      <w:lvlJc w:val="left"/>
      <w:pPr>
        <w:ind w:left="405" w:hanging="360"/>
      </w:pPr>
      <w:rPr>
        <w:rFonts w:ascii="Aptos" w:eastAsiaTheme="minorHAnsi" w:hAnsi="Aptos" w:cstheme="minorBidi"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3" w15:restartNumberingAfterBreak="0">
    <w:nsid w:val="64E313B4"/>
    <w:multiLevelType w:val="multilevel"/>
    <w:tmpl w:val="42D8CE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FCA2B92"/>
    <w:multiLevelType w:val="multilevel"/>
    <w:tmpl w:val="5E0A0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30125414">
    <w:abstractNumId w:val="2"/>
  </w:num>
  <w:num w:numId="2" w16cid:durableId="1330137809">
    <w:abstractNumId w:val="3"/>
  </w:num>
  <w:num w:numId="3" w16cid:durableId="293296603">
    <w:abstractNumId w:val="4"/>
  </w:num>
  <w:num w:numId="4" w16cid:durableId="2120374676">
    <w:abstractNumId w:val="1"/>
  </w:num>
  <w:num w:numId="5" w16cid:durableId="36595777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0642"/>
    <w:rsid w:val="000448E2"/>
    <w:rsid w:val="00064F10"/>
    <w:rsid w:val="000A5B4A"/>
    <w:rsid w:val="000A63E9"/>
    <w:rsid w:val="001F2DB9"/>
    <w:rsid w:val="002218F6"/>
    <w:rsid w:val="003006E3"/>
    <w:rsid w:val="003C3260"/>
    <w:rsid w:val="00450B00"/>
    <w:rsid w:val="004C2B25"/>
    <w:rsid w:val="004D5CFB"/>
    <w:rsid w:val="00556723"/>
    <w:rsid w:val="00573AD9"/>
    <w:rsid w:val="005A1E4D"/>
    <w:rsid w:val="005F32C1"/>
    <w:rsid w:val="00660022"/>
    <w:rsid w:val="007933CC"/>
    <w:rsid w:val="00851D07"/>
    <w:rsid w:val="00870DC9"/>
    <w:rsid w:val="0088484F"/>
    <w:rsid w:val="008D791E"/>
    <w:rsid w:val="008F303A"/>
    <w:rsid w:val="00AA1237"/>
    <w:rsid w:val="00AD029D"/>
    <w:rsid w:val="00AF204D"/>
    <w:rsid w:val="00AF510F"/>
    <w:rsid w:val="00B033B4"/>
    <w:rsid w:val="00B9762A"/>
    <w:rsid w:val="00BF57FE"/>
    <w:rsid w:val="00C22D2C"/>
    <w:rsid w:val="00C37A6C"/>
    <w:rsid w:val="00C56CC2"/>
    <w:rsid w:val="00D748A6"/>
    <w:rsid w:val="00E15E43"/>
    <w:rsid w:val="00E37611"/>
    <w:rsid w:val="00EA0642"/>
    <w:rsid w:val="00F2158D"/>
    <w:rsid w:val="00F43E0D"/>
    <w:rsid w:val="00F952F1"/>
    <w:rsid w:val="00FB68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99E97C"/>
  <w15:chartTrackingRefBased/>
  <w15:docId w15:val="{F5F7B95A-42EB-4F5D-A809-7BB36CA27A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A064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EA064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EA064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A064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A064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A064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A064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A064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A064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A064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EA064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EA064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A064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A064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A064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A064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A064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A0642"/>
    <w:rPr>
      <w:rFonts w:eastAsiaTheme="majorEastAsia" w:cstheme="majorBidi"/>
      <w:color w:val="272727" w:themeColor="text1" w:themeTint="D8"/>
    </w:rPr>
  </w:style>
  <w:style w:type="paragraph" w:styleId="Title">
    <w:name w:val="Title"/>
    <w:basedOn w:val="Normal"/>
    <w:next w:val="Normal"/>
    <w:link w:val="TitleChar"/>
    <w:uiPriority w:val="10"/>
    <w:qFormat/>
    <w:rsid w:val="00EA064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A064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A064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A064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A0642"/>
    <w:pPr>
      <w:spacing w:before="160"/>
      <w:jc w:val="center"/>
    </w:pPr>
    <w:rPr>
      <w:i/>
      <w:iCs/>
      <w:color w:val="404040" w:themeColor="text1" w:themeTint="BF"/>
    </w:rPr>
  </w:style>
  <w:style w:type="character" w:customStyle="1" w:styleId="QuoteChar">
    <w:name w:val="Quote Char"/>
    <w:basedOn w:val="DefaultParagraphFont"/>
    <w:link w:val="Quote"/>
    <w:uiPriority w:val="29"/>
    <w:rsid w:val="00EA0642"/>
    <w:rPr>
      <w:i/>
      <w:iCs/>
      <w:color w:val="404040" w:themeColor="text1" w:themeTint="BF"/>
    </w:rPr>
  </w:style>
  <w:style w:type="paragraph" w:styleId="ListParagraph">
    <w:name w:val="List Paragraph"/>
    <w:basedOn w:val="Normal"/>
    <w:uiPriority w:val="34"/>
    <w:qFormat/>
    <w:rsid w:val="00EA0642"/>
    <w:pPr>
      <w:ind w:left="720"/>
      <w:contextualSpacing/>
    </w:pPr>
  </w:style>
  <w:style w:type="character" w:styleId="IntenseEmphasis">
    <w:name w:val="Intense Emphasis"/>
    <w:basedOn w:val="DefaultParagraphFont"/>
    <w:uiPriority w:val="21"/>
    <w:qFormat/>
    <w:rsid w:val="00EA0642"/>
    <w:rPr>
      <w:i/>
      <w:iCs/>
      <w:color w:val="0F4761" w:themeColor="accent1" w:themeShade="BF"/>
    </w:rPr>
  </w:style>
  <w:style w:type="paragraph" w:styleId="IntenseQuote">
    <w:name w:val="Intense Quote"/>
    <w:basedOn w:val="Normal"/>
    <w:next w:val="Normal"/>
    <w:link w:val="IntenseQuoteChar"/>
    <w:uiPriority w:val="30"/>
    <w:qFormat/>
    <w:rsid w:val="00EA064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A0642"/>
    <w:rPr>
      <w:i/>
      <w:iCs/>
      <w:color w:val="0F4761" w:themeColor="accent1" w:themeShade="BF"/>
    </w:rPr>
  </w:style>
  <w:style w:type="character" w:styleId="IntenseReference">
    <w:name w:val="Intense Reference"/>
    <w:basedOn w:val="DefaultParagraphFont"/>
    <w:uiPriority w:val="32"/>
    <w:qFormat/>
    <w:rsid w:val="00EA0642"/>
    <w:rPr>
      <w:b/>
      <w:bCs/>
      <w:smallCaps/>
      <w:color w:val="0F4761" w:themeColor="accent1" w:themeShade="BF"/>
      <w:spacing w:val="5"/>
    </w:rPr>
  </w:style>
  <w:style w:type="table" w:styleId="TableGrid">
    <w:name w:val="Table Grid"/>
    <w:basedOn w:val="TableNormal"/>
    <w:uiPriority w:val="39"/>
    <w:rsid w:val="00851D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60</TotalTime>
  <Pages>4</Pages>
  <Words>1604</Words>
  <Characters>11000</Characters>
  <Application>Microsoft Office Word</Application>
  <DocSecurity>0</DocSecurity>
  <Lines>413</Lines>
  <Paragraphs>113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Harrison</dc:creator>
  <cp:keywords/>
  <dc:description/>
  <cp:lastModifiedBy>Andrew Harrison</cp:lastModifiedBy>
  <cp:revision>12</cp:revision>
  <dcterms:created xsi:type="dcterms:W3CDTF">2025-11-20T11:26:00Z</dcterms:created>
  <dcterms:modified xsi:type="dcterms:W3CDTF">2026-01-13T12:49:00Z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f8a4e286-2f56-4e23-8355-53419665816b</vt:lpwstr>
  </property>
</Properties>
</file>