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A261E4" w14:textId="54638FE9" w:rsidR="00890A67" w:rsidRPr="00F32E69" w:rsidRDefault="00890A67" w:rsidP="00890A67">
      <w:pPr>
        <w:pStyle w:val="Title"/>
        <w:rPr>
          <w:color w:val="auto"/>
        </w:rPr>
      </w:pPr>
      <w:r w:rsidRPr="00F32E69">
        <w:rPr>
          <w:color w:val="auto"/>
        </w:rPr>
        <w:t>NDRS – NICE Partnership Report ID975</w:t>
      </w:r>
    </w:p>
    <w:p w14:paraId="4C92117D" w14:textId="77777777" w:rsidR="00890A67" w:rsidRPr="00F32E69" w:rsidRDefault="00890A67" w:rsidP="00890A67">
      <w:pPr>
        <w:pStyle w:val="Heading2"/>
        <w:rPr>
          <w:color w:val="auto"/>
        </w:rPr>
      </w:pPr>
      <w:r w:rsidRPr="00F32E69">
        <w:rPr>
          <w:color w:val="auto"/>
        </w:rPr>
        <w:t xml:space="preserve">Background </w:t>
      </w:r>
    </w:p>
    <w:p w14:paraId="1AB5C1F4" w14:textId="58E2AA8F" w:rsidR="00890A67" w:rsidRDefault="00890A67" w:rsidP="00890A67">
      <w:pPr>
        <w:pStyle w:val="BodyText"/>
      </w:pPr>
      <w:r w:rsidRPr="00682044">
        <w:rPr>
          <w:lang w:val="en-GB"/>
        </w:rPr>
        <w:t xml:space="preserve">This report was produced </w:t>
      </w:r>
      <w:r>
        <w:rPr>
          <w:lang w:val="en-GB"/>
        </w:rPr>
        <w:t xml:space="preserve">in partnership </w:t>
      </w:r>
      <w:r w:rsidRPr="00682044">
        <w:rPr>
          <w:lang w:val="en-GB"/>
        </w:rPr>
        <w:t>by the National Disease and Registration Service (NDRS)</w:t>
      </w:r>
      <w:r>
        <w:rPr>
          <w:lang w:val="en-GB"/>
        </w:rPr>
        <w:t xml:space="preserve"> and National Institute for Health and Care Excellence (NICE)</w:t>
      </w:r>
      <w:r w:rsidRPr="00682044">
        <w:rPr>
          <w:lang w:val="en-GB"/>
        </w:rPr>
        <w:t xml:space="preserve">. </w:t>
      </w:r>
      <w:r w:rsidRPr="009D07C7">
        <w:t>NDRS and NICE have established a partnership focused on routinely collected data to support NICE decision making on the appraisal</w:t>
      </w:r>
      <w:r>
        <w:t>s</w:t>
      </w:r>
      <w:r w:rsidRPr="009D07C7">
        <w:t xml:space="preserve"> of </w:t>
      </w:r>
      <w:r>
        <w:t>c</w:t>
      </w:r>
      <w:r w:rsidRPr="009D07C7">
        <w:t>ancer treatments.</w:t>
      </w:r>
      <w:r>
        <w:t xml:space="preserve"> The partnership uses NDRS datasets, including the information submitted by trusts to the </w:t>
      </w:r>
      <w:r w:rsidR="0019318C">
        <w:t>Systemic Anti-Cancer Therapy (</w:t>
      </w:r>
      <w:r>
        <w:t>SACT</w:t>
      </w:r>
      <w:r w:rsidR="0019318C">
        <w:t>)</w:t>
      </w:r>
      <w:r>
        <w:t xml:space="preserve"> dataset</w:t>
      </w:r>
      <w:r w:rsidR="0019318C">
        <w:rPr>
          <w:rStyle w:val="FootnoteReference"/>
        </w:rPr>
        <w:footnoteReference w:id="1"/>
      </w:r>
      <w:r>
        <w:t xml:space="preserve">, to provide </w:t>
      </w:r>
      <w:r w:rsidRPr="004A4E57">
        <w:t>an understanding of current practice</w:t>
      </w:r>
      <w:r>
        <w:t>.</w:t>
      </w:r>
    </w:p>
    <w:p w14:paraId="49DE6370" w14:textId="6ADA7D79" w:rsidR="00890A67" w:rsidRDefault="00890A67" w:rsidP="00890A67">
      <w:r>
        <w:t xml:space="preserve">To determine a severity modifier, NICE considers factors such as the age, gender, and overall survival of the patient cohort affected by the disease. Additionally, knowing the time-on-treatment for each therapy is useful, as it validates assumptions made in </w:t>
      </w:r>
      <w:r w:rsidR="0019318C">
        <w:t xml:space="preserve">technology appraisal </w:t>
      </w:r>
      <w:r>
        <w:t xml:space="preserve"> evaluations about the duration of treatment use.</w:t>
      </w:r>
    </w:p>
    <w:p w14:paraId="631A1C43" w14:textId="06586E4A" w:rsidR="00D90527" w:rsidRDefault="00D90527" w:rsidP="00D90527">
      <w:r>
        <w:t>Generally, this partnership is focused on producing demographic and survival information using NDRS data, alongside supplementary information tailored to each technology appraisal. In this specific instance, similar information was derived to enable a post-approval re-evaluation as part of an academic study independently conducted by NICE. This specific information was not presented to NICE committees nor used in any NICE technology appraisal or process.</w:t>
      </w:r>
    </w:p>
    <w:p w14:paraId="690AC609" w14:textId="0C2A2464" w:rsidR="00890A67" w:rsidRDefault="00176037" w:rsidP="00890A67">
      <w:pPr>
        <w:pStyle w:val="BodyText"/>
      </w:pPr>
      <w:r>
        <w:t xml:space="preserve">The </w:t>
      </w:r>
      <w:r w:rsidR="00890A67">
        <w:t>focus of this report is the indication</w:t>
      </w:r>
      <w:r>
        <w:t>:</w:t>
      </w:r>
      <w:r w:rsidR="00890A67">
        <w:t xml:space="preserve"> </w:t>
      </w:r>
      <w:r w:rsidR="00687A8F" w:rsidRPr="00687A8F">
        <w:rPr>
          <w:b/>
          <w:bCs/>
        </w:rPr>
        <w:t>Tisagenlecleucel for treating relapsed or refractory B-cell acute lymphoblastic leukaemia in people 25 years and under</w:t>
      </w:r>
      <w:r w:rsidR="00D75744">
        <w:rPr>
          <w:b/>
          <w:bCs/>
        </w:rPr>
        <w:t xml:space="preserve"> </w:t>
      </w:r>
      <w:r w:rsidR="00D75744" w:rsidRPr="00867597">
        <w:t>(ID975)</w:t>
      </w:r>
    </w:p>
    <w:p w14:paraId="5D5C4778" w14:textId="47C2CB85" w:rsidR="00890A67" w:rsidRDefault="00176037" w:rsidP="00890A67">
      <w:pPr>
        <w:pStyle w:val="BodyText"/>
      </w:pPr>
      <w:r>
        <w:t xml:space="preserve">Two </w:t>
      </w:r>
      <w:r w:rsidR="00890A67">
        <w:t>cohorts were assessed for this indication:</w:t>
      </w:r>
    </w:p>
    <w:p w14:paraId="382EBEA1" w14:textId="62A1EF05" w:rsidR="00890A67" w:rsidRDefault="00890A67" w:rsidP="00890A67">
      <w:pPr>
        <w:pStyle w:val="BodyText"/>
      </w:pPr>
      <w:r>
        <w:t xml:space="preserve">Cohort 1: Patients receiving </w:t>
      </w:r>
      <w:r w:rsidR="00E56AD2">
        <w:t>tisagenlecleucel for acute lymphoblastic leaukaemia</w:t>
      </w:r>
      <w:r w:rsidR="000069EB">
        <w:t xml:space="preserve"> aged 25 years and under</w:t>
      </w:r>
      <w:r>
        <w:t xml:space="preserve"> </w:t>
      </w:r>
    </w:p>
    <w:p w14:paraId="7453FFE0" w14:textId="0EEF2297" w:rsidR="00EB270A" w:rsidRDefault="00890A67" w:rsidP="00890A67">
      <w:pPr>
        <w:pStyle w:val="BodyText"/>
      </w:pPr>
      <w:r>
        <w:t xml:space="preserve">Cohort 2: </w:t>
      </w:r>
      <w:r w:rsidR="000069EB">
        <w:t>Patients receiving blinatumumab for acute lymphoblastic leaukaemia aged 25 years and under</w:t>
      </w:r>
    </w:p>
    <w:p w14:paraId="070EA75E" w14:textId="77777777" w:rsidR="00EB270A" w:rsidRDefault="00EB270A">
      <w:r>
        <w:br w:type="page"/>
      </w:r>
    </w:p>
    <w:p w14:paraId="5523838F" w14:textId="0DBB44B5" w:rsidR="004A517B" w:rsidRPr="00F32E69" w:rsidRDefault="00B85F96">
      <w:pPr>
        <w:pStyle w:val="Title"/>
        <w:rPr>
          <w:color w:val="auto"/>
        </w:rPr>
      </w:pPr>
      <w:r w:rsidRPr="00F32E69">
        <w:rPr>
          <w:color w:val="auto"/>
        </w:rPr>
        <w:lastRenderedPageBreak/>
        <w:t>Age, Gender and Overall Survival for Tisagenlecleucel</w:t>
      </w:r>
    </w:p>
    <w:p w14:paraId="3E7A9F1C" w14:textId="77777777" w:rsidR="004A517B" w:rsidRPr="00F32E69" w:rsidRDefault="00B85F96">
      <w:pPr>
        <w:pStyle w:val="Heading2"/>
        <w:rPr>
          <w:color w:val="auto"/>
        </w:rPr>
      </w:pPr>
      <w:bookmarkStart w:id="0" w:name="introduction"/>
      <w:r w:rsidRPr="00F32E69">
        <w:rPr>
          <w:color w:val="auto"/>
        </w:rPr>
        <w:t>Introduction</w:t>
      </w:r>
    </w:p>
    <w:p w14:paraId="126087AE" w14:textId="3555EB4E" w:rsidR="004A517B" w:rsidRDefault="00B85F96">
      <w:pPr>
        <w:pStyle w:val="FirstParagraph"/>
      </w:pPr>
      <w:r>
        <w:t>This report was produced in partnership by the National Disease Registration Service (NDRS) and</w:t>
      </w:r>
      <w:r w:rsidR="0024185C">
        <w:t xml:space="preserve"> the</w:t>
      </w:r>
      <w:r>
        <w:t xml:space="preserve"> National Institute for Health and Care Excellence (NICE). It presents patient demographic characteristics and overall survival among patients who have received a treatment of tisagenlecleucel for refractory or relapsed B-cell acute lymphoblastic leukaemia (B-ALL).</w:t>
      </w:r>
    </w:p>
    <w:p w14:paraId="0AB96001" w14:textId="59A24DF3" w:rsidR="004A517B" w:rsidRDefault="00B85F96">
      <w:pPr>
        <w:pStyle w:val="BodyText"/>
      </w:pPr>
      <w:r>
        <w:t>Data extracted as part of this project was used to provide demographic and overall survival information for those treated with tisagenlecleucel or blinatumumab for B-ALL, for the purposes of comparing real</w:t>
      </w:r>
      <w:r w:rsidR="002B7964">
        <w:t>-</w:t>
      </w:r>
      <w:r>
        <w:t xml:space="preserve">world data to that used in </w:t>
      </w:r>
      <w:r w:rsidR="00F17538" w:rsidRPr="00867597">
        <w:t>NICE Technology Appraisal 975</w:t>
      </w:r>
      <w:r w:rsidR="00F17538">
        <w:rPr>
          <w:rStyle w:val="FootnoteReference"/>
        </w:rPr>
        <w:footnoteReference w:id="2"/>
      </w:r>
      <w:r>
        <w:t>. Data presented in this report will be combined with data for blinatumomab</w:t>
      </w:r>
      <w:r w:rsidR="006946CD">
        <w:t>, in cohort 2 below (page 14)</w:t>
      </w:r>
      <w:r>
        <w:t>.</w:t>
      </w:r>
    </w:p>
    <w:p w14:paraId="206DFFD0" w14:textId="77777777" w:rsidR="004A517B" w:rsidRPr="00F32E69" w:rsidRDefault="00B85F96">
      <w:pPr>
        <w:pStyle w:val="Heading2"/>
        <w:rPr>
          <w:color w:val="auto"/>
        </w:rPr>
      </w:pPr>
      <w:bookmarkStart w:id="1" w:name="method"/>
      <w:bookmarkEnd w:id="0"/>
      <w:r w:rsidRPr="00F32E69">
        <w:rPr>
          <w:color w:val="auto"/>
        </w:rPr>
        <w:t>Method</w:t>
      </w:r>
    </w:p>
    <w:p w14:paraId="49748C03" w14:textId="067AB91B" w:rsidR="004A517B" w:rsidRPr="00F32E69" w:rsidRDefault="00B85F96">
      <w:pPr>
        <w:pStyle w:val="FirstParagraph"/>
      </w:pPr>
      <w:r w:rsidRPr="00F32E69">
        <w:t xml:space="preserve">A snapshot of </w:t>
      </w:r>
      <w:r w:rsidR="000E2954" w:rsidRPr="00F32E69">
        <w:t>Systemic Anti</w:t>
      </w:r>
      <w:r w:rsidR="009C6909" w:rsidRPr="00F32E69">
        <w:t>Cancer Therapy (</w:t>
      </w:r>
      <w:r w:rsidRPr="00F32E69">
        <w:t>SACT</w:t>
      </w:r>
      <w:r w:rsidR="009C6909" w:rsidRPr="00F32E69">
        <w:t>)</w:t>
      </w:r>
      <w:r w:rsidRPr="00F32E69">
        <w:t xml:space="preserve"> data was taken on 8th June 2025 and made available for analysis on 26th June 2025. SACT data is only considered complete when 90% of trusts have submitted data. As a result, SACT data is considered complete up to 31st October 2024. Patients were traced for their vital status on 5th April 2025.</w:t>
      </w:r>
    </w:p>
    <w:p w14:paraId="32EFBFAC" w14:textId="77777777" w:rsidR="004A517B" w:rsidRPr="00F32E69" w:rsidRDefault="00B85F96">
      <w:pPr>
        <w:pStyle w:val="BodyText"/>
      </w:pPr>
      <w:r w:rsidRPr="00F32E69">
        <w:t>Descriptive statistics of age and gender were computed, as well as overall survival (OS) Kaplan-Meier graphs and parametric fits.</w:t>
      </w:r>
    </w:p>
    <w:p w14:paraId="5649E997" w14:textId="77777777" w:rsidR="004A517B" w:rsidRPr="00F32E69" w:rsidRDefault="00B85F96">
      <w:pPr>
        <w:pStyle w:val="Heading3"/>
        <w:rPr>
          <w:color w:val="auto"/>
        </w:rPr>
      </w:pPr>
      <w:bookmarkStart w:id="2" w:name="cohort-inclusions-exclusions"/>
      <w:r w:rsidRPr="00F32E69">
        <w:rPr>
          <w:color w:val="auto"/>
        </w:rPr>
        <w:t>Cohort inclusions / exclusions</w:t>
      </w:r>
    </w:p>
    <w:p w14:paraId="7A101C6A" w14:textId="2D1BFDCD" w:rsidR="004A517B" w:rsidRPr="00F32E69" w:rsidRDefault="00B85F96">
      <w:pPr>
        <w:pStyle w:val="FirstParagraph"/>
      </w:pPr>
      <w:r w:rsidRPr="00F32E69">
        <w:t>Patients were included in this cohort where:</w:t>
      </w:r>
    </w:p>
    <w:p w14:paraId="389C6EE9" w14:textId="77777777" w:rsidR="004A517B" w:rsidRPr="00F32E69" w:rsidRDefault="00B85F96">
      <w:pPr>
        <w:pStyle w:val="Compact"/>
        <w:numPr>
          <w:ilvl w:val="0"/>
          <w:numId w:val="15"/>
        </w:numPr>
      </w:pPr>
      <w:r w:rsidRPr="00F32E69">
        <w:t>Country code was ‘England’</w:t>
      </w:r>
    </w:p>
    <w:p w14:paraId="1B9C803F" w14:textId="77777777" w:rsidR="004A517B" w:rsidRPr="00F32E69" w:rsidRDefault="00B85F96">
      <w:pPr>
        <w:pStyle w:val="Compact"/>
        <w:numPr>
          <w:ilvl w:val="0"/>
          <w:numId w:val="15"/>
        </w:numPr>
      </w:pPr>
      <w:r w:rsidRPr="00F32E69">
        <w:t>Age at start of treatment (using first drug administration date) was under 25</w:t>
      </w:r>
    </w:p>
    <w:p w14:paraId="6EFC40EE" w14:textId="77777777" w:rsidR="004A517B" w:rsidRPr="00F32E69" w:rsidRDefault="00B85F96">
      <w:pPr>
        <w:pStyle w:val="Compact"/>
        <w:numPr>
          <w:ilvl w:val="0"/>
          <w:numId w:val="15"/>
        </w:numPr>
      </w:pPr>
      <w:r w:rsidRPr="00F32E69">
        <w:t>Gender field was known (male or female)</w:t>
      </w:r>
    </w:p>
    <w:p w14:paraId="0BABF5E5" w14:textId="1494CE4B" w:rsidR="004A517B" w:rsidRPr="00F32E69" w:rsidRDefault="00B85F96">
      <w:pPr>
        <w:pStyle w:val="Compact"/>
        <w:numPr>
          <w:ilvl w:val="0"/>
          <w:numId w:val="15"/>
        </w:numPr>
      </w:pPr>
      <w:r w:rsidRPr="00F32E69">
        <w:t>ICD-10 diagnosis code was C910 (consistent with the restriction on blin</w:t>
      </w:r>
      <w:r w:rsidR="0048345E" w:rsidRPr="00F32E69">
        <w:t>a</w:t>
      </w:r>
      <w:r w:rsidRPr="00F32E69">
        <w:t>tumomab)</w:t>
      </w:r>
    </w:p>
    <w:p w14:paraId="66EF1E8E" w14:textId="0770CD3B" w:rsidR="004A517B" w:rsidRPr="00F32E69" w:rsidRDefault="00B85F96">
      <w:pPr>
        <w:pStyle w:val="Compact"/>
        <w:numPr>
          <w:ilvl w:val="0"/>
          <w:numId w:val="15"/>
        </w:numPr>
      </w:pPr>
      <w:r w:rsidRPr="00F32E69">
        <w:t>Treatment included a drug administration of tisagenlecleucel, defined in the drug detail table of SACT. Drug tables were used to define the cohort rather than regimen level information, these regimens include a period of induction prior to the immunotherapy being given. Some patients may have a record of starting a relevant regimen but not actually receiving the immunotherapy if the regimen is discontinued before immunotherapy administration</w:t>
      </w:r>
    </w:p>
    <w:p w14:paraId="3D05323E" w14:textId="77777777" w:rsidR="004A517B" w:rsidRPr="00F32E69" w:rsidRDefault="00B85F96">
      <w:pPr>
        <w:pStyle w:val="Heading3"/>
        <w:rPr>
          <w:color w:val="auto"/>
        </w:rPr>
      </w:pPr>
      <w:bookmarkStart w:id="3" w:name="patient-acknowledgement"/>
      <w:bookmarkEnd w:id="2"/>
      <w:r w:rsidRPr="00F32E69">
        <w:rPr>
          <w:color w:val="auto"/>
        </w:rPr>
        <w:lastRenderedPageBreak/>
        <w:t>Patient Acknowledgement</w:t>
      </w:r>
    </w:p>
    <w:p w14:paraId="5633555C" w14:textId="77777777" w:rsidR="004A517B" w:rsidRPr="00F32E69" w:rsidRDefault="00B85F96">
      <w:pPr>
        <w:pStyle w:val="FirstParagraph"/>
      </w:pPr>
      <w:r w:rsidRPr="00F32E69">
        <w:t>This work uses data that has been provided by patients and collected by the NHS as part of their care and support. The data is collated, maintained and quality assured by the National Cancer Registration and Analysis Service, which is part of NHS England.</w:t>
      </w:r>
    </w:p>
    <w:p w14:paraId="36704A0D" w14:textId="77777777" w:rsidR="004A517B" w:rsidRPr="00F32E69" w:rsidRDefault="00B85F96">
      <w:pPr>
        <w:pStyle w:val="Heading2"/>
        <w:rPr>
          <w:color w:val="auto"/>
        </w:rPr>
      </w:pPr>
      <w:bookmarkStart w:id="4" w:name="results"/>
      <w:bookmarkEnd w:id="1"/>
      <w:bookmarkEnd w:id="3"/>
      <w:r w:rsidRPr="00F32E69">
        <w:rPr>
          <w:color w:val="auto"/>
        </w:rPr>
        <w:t>Results</w:t>
      </w:r>
    </w:p>
    <w:p w14:paraId="4DA66915" w14:textId="77777777" w:rsidR="004A517B" w:rsidRPr="00F32E69" w:rsidRDefault="00B85F96">
      <w:pPr>
        <w:pStyle w:val="Heading3"/>
        <w:rPr>
          <w:color w:val="auto"/>
        </w:rPr>
      </w:pPr>
      <w:bookmarkStart w:id="5" w:name="age-at-start-of-treatment"/>
      <w:r w:rsidRPr="00F32E69">
        <w:rPr>
          <w:color w:val="auto"/>
        </w:rPr>
        <w:t>Age at start of treatment</w:t>
      </w:r>
    </w:p>
    <w:p w14:paraId="0BBE0F3D" w14:textId="139C4FB6" w:rsidR="004A517B" w:rsidRPr="00F32E69" w:rsidRDefault="00B85F96">
      <w:pPr>
        <w:pStyle w:val="FirstParagraph"/>
      </w:pPr>
      <w:r w:rsidRPr="00F32E69">
        <w:t xml:space="preserve">The table below sets out the mean age, </w:t>
      </w:r>
      <w:r w:rsidR="00D905EF" w:rsidRPr="00F32E69">
        <w:t>standard (</w:t>
      </w:r>
      <w:r w:rsidRPr="00F32E69">
        <w:t>std.</w:t>
      </w:r>
      <w:r w:rsidR="00D905EF" w:rsidRPr="00F32E69">
        <w:t>)</w:t>
      </w:r>
      <w:r w:rsidRPr="00F32E69">
        <w:t xml:space="preserve"> deviation, median age and </w:t>
      </w:r>
      <w:r w:rsidR="00D905EF" w:rsidRPr="00F32E69">
        <w:t>interquartile range (</w:t>
      </w:r>
      <w:r w:rsidRPr="00F32E69">
        <w:t>IQR</w:t>
      </w:r>
      <w:r w:rsidR="00D905EF" w:rsidRPr="00F32E69">
        <w:t>)</w:t>
      </w:r>
      <w:r w:rsidRPr="00F32E69">
        <w:t xml:space="preserve"> of patients who have received tisagenlecleucel. Age is measured at the commencement of the administration date of tisagenlecleucel.</w:t>
      </w:r>
    </w:p>
    <w:p w14:paraId="7F1DFB6C" w14:textId="25E475C5" w:rsidR="004A517B" w:rsidRPr="00F32E69" w:rsidRDefault="00402340">
      <w:pPr>
        <w:pStyle w:val="TableCaption"/>
      </w:pPr>
      <w:bookmarkStart w:id="6" w:name="tbl-age-summary"/>
      <w:r w:rsidRPr="00F32E69">
        <w:t xml:space="preserve">Cohort 1 Table 1: Mean age, standard deviation, median age and IQR of patients who have received tisangelecleucel </w:t>
      </w:r>
    </w:p>
    <w:tbl>
      <w:tblPr>
        <w:tblStyle w:val="Table"/>
        <w:tblW w:w="0" w:type="auto"/>
        <w:tblLook w:val="0020" w:firstRow="1" w:lastRow="0" w:firstColumn="0" w:lastColumn="0" w:noHBand="0" w:noVBand="0"/>
        <w:tblCaption w:val="Table 1: Age Statistics by Gender"/>
      </w:tblPr>
      <w:tblGrid>
        <w:gridCol w:w="2433"/>
        <w:gridCol w:w="2072"/>
        <w:gridCol w:w="2072"/>
      </w:tblGrid>
      <w:tr w:rsidR="00F32E69" w:rsidRPr="00F32E69" w14:paraId="53711BB9" w14:textId="77777777" w:rsidTr="004A517B">
        <w:trPr>
          <w:cnfStyle w:val="100000000000" w:firstRow="1" w:lastRow="0" w:firstColumn="0" w:lastColumn="0" w:oddVBand="0" w:evenVBand="0" w:oddHBand="0" w:evenHBand="0" w:firstRowFirstColumn="0" w:firstRowLastColumn="0" w:lastRowFirstColumn="0" w:lastRowLastColumn="0"/>
          <w:tblHeader/>
        </w:trPr>
        <w:tc>
          <w:tcPr>
            <w:tcW w:w="0" w:type="auto"/>
          </w:tcPr>
          <w:p w14:paraId="139A38CE" w14:textId="77777777" w:rsidR="004A517B" w:rsidRPr="00F32E69" w:rsidRDefault="00B85F96">
            <w:pPr>
              <w:pStyle w:val="Compact"/>
            </w:pPr>
            <w:r w:rsidRPr="00F32E69">
              <w:rPr>
                <w:b/>
                <w:bCs/>
              </w:rPr>
              <w:t>Characteristic</w:t>
            </w:r>
          </w:p>
        </w:tc>
        <w:tc>
          <w:tcPr>
            <w:tcW w:w="0" w:type="auto"/>
          </w:tcPr>
          <w:p w14:paraId="4137AB28" w14:textId="77777777" w:rsidR="004A517B" w:rsidRPr="00F32E69" w:rsidRDefault="00B85F96">
            <w:pPr>
              <w:pStyle w:val="Compact"/>
              <w:jc w:val="center"/>
            </w:pPr>
            <w:r w:rsidRPr="00F32E69">
              <w:rPr>
                <w:b/>
                <w:bCs/>
              </w:rPr>
              <w:t>Female</w:t>
            </w:r>
            <w:r w:rsidRPr="00F32E69">
              <w:t xml:space="preserve"> N = 61</w:t>
            </w:r>
          </w:p>
        </w:tc>
        <w:tc>
          <w:tcPr>
            <w:tcW w:w="0" w:type="auto"/>
          </w:tcPr>
          <w:p w14:paraId="515BB67A" w14:textId="77777777" w:rsidR="004A517B" w:rsidRPr="00F32E69" w:rsidRDefault="00B85F96">
            <w:pPr>
              <w:pStyle w:val="Compact"/>
              <w:jc w:val="center"/>
            </w:pPr>
            <w:r w:rsidRPr="00F32E69">
              <w:rPr>
                <w:b/>
                <w:bCs/>
              </w:rPr>
              <w:t>Male</w:t>
            </w:r>
            <w:r w:rsidRPr="00F32E69">
              <w:t xml:space="preserve"> N = 91</w:t>
            </w:r>
          </w:p>
        </w:tc>
      </w:tr>
      <w:tr w:rsidR="00F32E69" w:rsidRPr="00F32E69" w14:paraId="0BED83DB" w14:textId="77777777">
        <w:tc>
          <w:tcPr>
            <w:tcW w:w="0" w:type="auto"/>
          </w:tcPr>
          <w:p w14:paraId="3ADCE22F" w14:textId="77777777" w:rsidR="004A517B" w:rsidRPr="00F32E69" w:rsidRDefault="00B85F96">
            <w:pPr>
              <w:pStyle w:val="Compact"/>
            </w:pPr>
            <w:r w:rsidRPr="00F32E69">
              <w:t>Age at administration</w:t>
            </w:r>
          </w:p>
        </w:tc>
        <w:tc>
          <w:tcPr>
            <w:tcW w:w="0" w:type="auto"/>
          </w:tcPr>
          <w:p w14:paraId="6211A958" w14:textId="77777777" w:rsidR="004A517B" w:rsidRPr="00F32E69" w:rsidRDefault="00B85F96">
            <w:pPr>
              <w:pStyle w:val="Compact"/>
              <w:jc w:val="center"/>
            </w:pPr>
            <w:r w:rsidRPr="00F32E69">
              <w:t>12, (6) : 12 (7, 16)</w:t>
            </w:r>
          </w:p>
        </w:tc>
        <w:tc>
          <w:tcPr>
            <w:tcW w:w="0" w:type="auto"/>
          </w:tcPr>
          <w:p w14:paraId="188D68D4" w14:textId="77777777" w:rsidR="004A517B" w:rsidRPr="00F32E69" w:rsidRDefault="00B85F96">
            <w:pPr>
              <w:pStyle w:val="Compact"/>
              <w:jc w:val="center"/>
            </w:pPr>
            <w:r w:rsidRPr="00F32E69">
              <w:t>12, (7) : 13 (7, 17)</w:t>
            </w:r>
          </w:p>
        </w:tc>
      </w:tr>
      <w:bookmarkEnd w:id="6"/>
    </w:tbl>
    <w:p w14:paraId="672A6659" w14:textId="77777777" w:rsidR="004A517B" w:rsidRPr="00F32E69" w:rsidRDefault="00B85F96">
      <w:r w:rsidRPr="00F32E69">
        <w:br w:type="page"/>
      </w:r>
    </w:p>
    <w:p w14:paraId="4485C272" w14:textId="77777777" w:rsidR="004A517B" w:rsidRPr="00F32E69" w:rsidRDefault="00B85F96">
      <w:pPr>
        <w:pStyle w:val="Heading3"/>
        <w:rPr>
          <w:color w:val="auto"/>
        </w:rPr>
      </w:pPr>
      <w:bookmarkStart w:id="7" w:name="overall-survival"/>
      <w:bookmarkEnd w:id="5"/>
      <w:r w:rsidRPr="00F32E69">
        <w:rPr>
          <w:color w:val="auto"/>
        </w:rPr>
        <w:lastRenderedPageBreak/>
        <w:t>Overall Survival</w:t>
      </w:r>
    </w:p>
    <w:p w14:paraId="617E2EA4" w14:textId="77777777" w:rsidR="004A517B" w:rsidRPr="00F32E69" w:rsidRDefault="00B85F96">
      <w:pPr>
        <w:pStyle w:val="Heading4"/>
        <w:rPr>
          <w:color w:val="auto"/>
        </w:rPr>
      </w:pPr>
      <w:bookmarkStart w:id="8" w:name="base-k-m-plot"/>
      <w:r w:rsidRPr="00F32E69">
        <w:rPr>
          <w:color w:val="auto"/>
        </w:rPr>
        <w:t>Base K-M plot</w:t>
      </w:r>
    </w:p>
    <w:p w14:paraId="79D81210" w14:textId="77777777" w:rsidR="004A517B" w:rsidRPr="00F32E69" w:rsidRDefault="00B85F96">
      <w:pPr>
        <w:pStyle w:val="FirstParagraph"/>
      </w:pPr>
      <w:r w:rsidRPr="00F32E69">
        <w:t>The Kaplan-Meier plot below shows overall survival over time for those receiving tisagenlecleucel.</w:t>
      </w:r>
    </w:p>
    <w:p w14:paraId="3730BDDC" w14:textId="6B5EBF32" w:rsidR="00905468" w:rsidRPr="00F32E69" w:rsidRDefault="00905468" w:rsidP="00867597">
      <w:pPr>
        <w:pStyle w:val="BodyText"/>
        <w:rPr>
          <w:b/>
          <w:bCs/>
          <w:i/>
          <w:iCs/>
        </w:rPr>
      </w:pPr>
      <w:r w:rsidRPr="00F32E69">
        <w:rPr>
          <w:b/>
          <w:bCs/>
          <w:i/>
          <w:iCs/>
        </w:rPr>
        <w:t xml:space="preserve">Cohort 1 Figure 1: Kaplan-Meier plot of overall survival </w:t>
      </w:r>
      <w:r w:rsidRPr="00F32E69">
        <w:rPr>
          <w:rFonts w:ascii="Cambria" w:eastAsia="Cambria" w:hAnsi="Cambria" w:cs="Cambria"/>
          <w:b/>
          <w:bCs/>
          <w:i/>
          <w:iCs/>
        </w:rPr>
        <w:t xml:space="preserve">amongst patients who have received </w:t>
      </w:r>
      <w:r w:rsidRPr="00F32E69">
        <w:rPr>
          <w:b/>
          <w:bCs/>
          <w:i/>
          <w:iCs/>
        </w:rPr>
        <w:t>tisagenlecleucel</w:t>
      </w:r>
    </w:p>
    <w:tbl>
      <w:tblPr>
        <w:tblStyle w:val="Table"/>
        <w:tblW w:w="5000" w:type="pct"/>
        <w:tblLook w:val="0000" w:firstRow="0" w:lastRow="0" w:firstColumn="0" w:lastColumn="0" w:noHBand="0" w:noVBand="0"/>
      </w:tblPr>
      <w:tblGrid>
        <w:gridCol w:w="9360"/>
      </w:tblGrid>
      <w:tr w:rsidR="00F32E69" w:rsidRPr="00F32E69" w14:paraId="79262DE4" w14:textId="77777777">
        <w:tc>
          <w:tcPr>
            <w:tcW w:w="0" w:type="auto"/>
          </w:tcPr>
          <w:p w14:paraId="0A37501D" w14:textId="77777777" w:rsidR="004A517B" w:rsidRPr="00F32E69" w:rsidRDefault="00B85F96">
            <w:pPr>
              <w:jc w:val="center"/>
            </w:pPr>
            <w:bookmarkStart w:id="9" w:name="fig-km-survival"/>
            <w:r w:rsidRPr="00F32E69">
              <w:rPr>
                <w:noProof/>
              </w:rPr>
              <w:drawing>
                <wp:inline distT="0" distB="0" distL="0" distR="0" wp14:anchorId="7B3AC12B" wp14:editId="7C494487">
                  <wp:extent cx="4620126" cy="3696101"/>
                  <wp:effectExtent l="0" t="0" r="0" b="0"/>
                  <wp:docPr id="28" name="Picture" descr="A Kaplan-Meier plot showing overall survival over time for individuals who have received tisagenlecleucel. "/>
                  <wp:cNvGraphicFramePr/>
                  <a:graphic xmlns:a="http://schemas.openxmlformats.org/drawingml/2006/main">
                    <a:graphicData uri="http://schemas.openxmlformats.org/drawingml/2006/picture">
                      <pic:pic xmlns:pic="http://schemas.openxmlformats.org/drawingml/2006/picture">
                        <pic:nvPicPr>
                          <pic:cNvPr id="28" name="Picture" descr="A Kaplan-Meier plot showing overall survival over time for individuals who have received tisagenlecleucel. "/>
                          <pic:cNvPicPr>
                            <a:picLocks noChangeAspect="1" noChangeArrowheads="1"/>
                          </pic:cNvPicPr>
                        </pic:nvPicPr>
                        <pic:blipFill>
                          <a:blip r:embed="rId11"/>
                          <a:stretch>
                            <a:fillRect/>
                          </a:stretch>
                        </pic:blipFill>
                        <pic:spPr bwMode="auto">
                          <a:xfrm>
                            <a:off x="0" y="0"/>
                            <a:ext cx="4620126" cy="3696101"/>
                          </a:xfrm>
                          <a:prstGeom prst="rect">
                            <a:avLst/>
                          </a:prstGeom>
                          <a:noFill/>
                          <a:ln w="9525">
                            <a:noFill/>
                            <a:headEnd/>
                            <a:tailEnd/>
                          </a:ln>
                        </pic:spPr>
                      </pic:pic>
                    </a:graphicData>
                  </a:graphic>
                </wp:inline>
              </w:drawing>
            </w:r>
          </w:p>
          <w:p w14:paraId="361EBA58" w14:textId="02DAF529" w:rsidR="004A517B" w:rsidRPr="00F32E69" w:rsidRDefault="004A517B">
            <w:pPr>
              <w:pStyle w:val="ImageCaption"/>
              <w:spacing w:before="200"/>
            </w:pPr>
          </w:p>
        </w:tc>
        <w:bookmarkEnd w:id="9"/>
      </w:tr>
    </w:tbl>
    <w:p w14:paraId="7F741339" w14:textId="24FBE9DB" w:rsidR="004A517B" w:rsidRPr="00F32E69" w:rsidRDefault="00B85F96">
      <w:pPr>
        <w:pStyle w:val="BodyText"/>
      </w:pPr>
      <w:r w:rsidRPr="00F32E69">
        <w:t xml:space="preserve">Median survival was </w:t>
      </w:r>
      <w:r w:rsidR="00D85445" w:rsidRPr="00F32E69">
        <w:t xml:space="preserve">not reached </w:t>
      </w:r>
      <w:r w:rsidRPr="00F32E69">
        <w:t>and restricted mean survival (over the whole curve) was 53.64 months. The minimum follow-up time was 0.2 months, median 23.6 months, and maximum follow-up time of 74.6 months.</w:t>
      </w:r>
    </w:p>
    <w:p w14:paraId="5DAB6C7B" w14:textId="77777777" w:rsidR="004A517B" w:rsidRPr="00F32E69" w:rsidRDefault="00B85F96">
      <w:r w:rsidRPr="00F32E69">
        <w:br w:type="page"/>
      </w:r>
    </w:p>
    <w:p w14:paraId="5E069324" w14:textId="77777777" w:rsidR="004A517B" w:rsidRPr="00F32E69" w:rsidRDefault="00B85F96">
      <w:pPr>
        <w:pStyle w:val="Heading4"/>
        <w:rPr>
          <w:color w:val="auto"/>
        </w:rPr>
      </w:pPr>
      <w:bookmarkStart w:id="10" w:name="exponential"/>
      <w:bookmarkEnd w:id="8"/>
      <w:r w:rsidRPr="00F32E69">
        <w:rPr>
          <w:color w:val="auto"/>
        </w:rPr>
        <w:lastRenderedPageBreak/>
        <w:t>Exponential</w:t>
      </w:r>
    </w:p>
    <w:p w14:paraId="3C652A1B" w14:textId="60E27D91" w:rsidR="00905468" w:rsidRPr="00F32E69" w:rsidRDefault="00905468" w:rsidP="00905468">
      <w:pPr>
        <w:pStyle w:val="BodyText"/>
        <w:rPr>
          <w:b/>
          <w:bCs/>
          <w:i/>
          <w:iCs/>
        </w:rPr>
      </w:pPr>
      <w:r w:rsidRPr="00F32E69">
        <w:rPr>
          <w:b/>
          <w:bCs/>
          <w:i/>
          <w:iCs/>
        </w:rPr>
        <w:t xml:space="preserve">Cohort 1 Figure 2: Kaplan-Meier plot with Exponential fit of overall survival </w:t>
      </w:r>
      <w:r w:rsidRPr="00F32E69">
        <w:rPr>
          <w:rFonts w:ascii="Cambria" w:eastAsia="Cambria" w:hAnsi="Cambria" w:cs="Cambria"/>
          <w:b/>
          <w:bCs/>
          <w:i/>
          <w:iCs/>
        </w:rPr>
        <w:t xml:space="preserve">amongst patients who have received </w:t>
      </w:r>
      <w:r w:rsidRPr="00F32E69">
        <w:rPr>
          <w:b/>
          <w:bCs/>
          <w:i/>
          <w:iCs/>
        </w:rPr>
        <w:t>tisagenlecleucel</w:t>
      </w:r>
    </w:p>
    <w:p w14:paraId="3BE13F73" w14:textId="100D14C5" w:rsidR="00905468" w:rsidRPr="00F32E69" w:rsidRDefault="00905468" w:rsidP="00867597">
      <w:pPr>
        <w:pStyle w:val="BodyText"/>
      </w:pPr>
    </w:p>
    <w:tbl>
      <w:tblPr>
        <w:tblStyle w:val="Table"/>
        <w:tblW w:w="5000" w:type="pct"/>
        <w:tblLook w:val="0000" w:firstRow="0" w:lastRow="0" w:firstColumn="0" w:lastColumn="0" w:noHBand="0" w:noVBand="0"/>
      </w:tblPr>
      <w:tblGrid>
        <w:gridCol w:w="9360"/>
      </w:tblGrid>
      <w:tr w:rsidR="00F32E69" w:rsidRPr="00F32E69" w14:paraId="20D91374" w14:textId="77777777">
        <w:tc>
          <w:tcPr>
            <w:tcW w:w="0" w:type="auto"/>
          </w:tcPr>
          <w:p w14:paraId="02EB378F" w14:textId="77777777" w:rsidR="004A517B" w:rsidRPr="00F32E69" w:rsidRDefault="00B85F96">
            <w:pPr>
              <w:jc w:val="center"/>
            </w:pPr>
            <w:bookmarkStart w:id="11" w:name="fig-km-exp"/>
            <w:r w:rsidRPr="00F32E69">
              <w:rPr>
                <w:noProof/>
              </w:rPr>
              <w:drawing>
                <wp:inline distT="0" distB="0" distL="0" distR="0" wp14:anchorId="5544C750" wp14:editId="06648017">
                  <wp:extent cx="4620126" cy="3696101"/>
                  <wp:effectExtent l="0" t="0" r="0" b="0"/>
                  <wp:docPr id="33" name="Picture" descr="A Kaplan-Meier plot showing overall survival over time for individuals who have received tisagenlecleucel, with an overlaid exponential model fit. "/>
                  <wp:cNvGraphicFramePr/>
                  <a:graphic xmlns:a="http://schemas.openxmlformats.org/drawingml/2006/main">
                    <a:graphicData uri="http://schemas.openxmlformats.org/drawingml/2006/picture">
                      <pic:pic xmlns:pic="http://schemas.openxmlformats.org/drawingml/2006/picture">
                        <pic:nvPicPr>
                          <pic:cNvPr id="33" name="Picture" descr="A Kaplan-Meier plot showing overall survival over time for individuals who have received tisagenlecleucel, with an overlaid exponential model fit. "/>
                          <pic:cNvPicPr>
                            <a:picLocks noChangeAspect="1" noChangeArrowheads="1"/>
                          </pic:cNvPicPr>
                        </pic:nvPicPr>
                        <pic:blipFill>
                          <a:blip r:embed="rId12"/>
                          <a:stretch>
                            <a:fillRect/>
                          </a:stretch>
                        </pic:blipFill>
                        <pic:spPr bwMode="auto">
                          <a:xfrm>
                            <a:off x="0" y="0"/>
                            <a:ext cx="4620126" cy="3696101"/>
                          </a:xfrm>
                          <a:prstGeom prst="rect">
                            <a:avLst/>
                          </a:prstGeom>
                          <a:noFill/>
                          <a:ln w="9525">
                            <a:noFill/>
                            <a:headEnd/>
                            <a:tailEnd/>
                          </a:ln>
                        </pic:spPr>
                      </pic:pic>
                    </a:graphicData>
                  </a:graphic>
                </wp:inline>
              </w:drawing>
            </w:r>
          </w:p>
          <w:p w14:paraId="05188EF2" w14:textId="6F4746BB" w:rsidR="004A517B" w:rsidRPr="00F32E69" w:rsidRDefault="004A517B">
            <w:pPr>
              <w:pStyle w:val="ImageCaption"/>
              <w:spacing w:before="200"/>
            </w:pPr>
          </w:p>
        </w:tc>
        <w:bookmarkEnd w:id="11"/>
      </w:tr>
    </w:tbl>
    <w:p w14:paraId="6E7BEAA2" w14:textId="77777777" w:rsidR="004A517B" w:rsidRPr="00F32E69" w:rsidRDefault="00B85F96">
      <w:pPr>
        <w:pStyle w:val="BodyText"/>
      </w:pPr>
      <w:r w:rsidRPr="00F32E69">
        <w:t> </w:t>
      </w:r>
    </w:p>
    <w:p w14:paraId="55DD63B6" w14:textId="1614045B" w:rsidR="004A517B" w:rsidRPr="00F32E69" w:rsidRDefault="00E73E57">
      <w:pPr>
        <w:pStyle w:val="TableCaption"/>
      </w:pPr>
      <w:bookmarkStart w:id="12" w:name="tbl-km-exp"/>
      <w:r w:rsidRPr="00F32E69">
        <w:t xml:space="preserve">Cohort 1 </w:t>
      </w:r>
      <w:r w:rsidR="00B85F96" w:rsidRPr="00F32E69">
        <w:t>Table 2: Parameter estimates for Exponential survival model</w:t>
      </w:r>
    </w:p>
    <w:tbl>
      <w:tblPr>
        <w:tblStyle w:val="Table"/>
        <w:tblW w:w="0" w:type="auto"/>
        <w:tblLook w:val="0020" w:firstRow="1" w:lastRow="0" w:firstColumn="0" w:lastColumn="0" w:noHBand="0" w:noVBand="0"/>
        <w:tblCaption w:val="Table 2: Parameter estimates for Exponential survival model"/>
      </w:tblPr>
      <w:tblGrid>
        <w:gridCol w:w="1347"/>
        <w:gridCol w:w="1121"/>
        <w:gridCol w:w="1215"/>
        <w:gridCol w:w="1063"/>
        <w:gridCol w:w="983"/>
      </w:tblGrid>
      <w:tr w:rsidR="00F32E69" w:rsidRPr="00F32E69" w14:paraId="3F75EA5B" w14:textId="77777777" w:rsidTr="004A517B">
        <w:trPr>
          <w:cnfStyle w:val="100000000000" w:firstRow="1" w:lastRow="0" w:firstColumn="0" w:lastColumn="0" w:oddVBand="0" w:evenVBand="0" w:oddHBand="0" w:evenHBand="0" w:firstRowFirstColumn="0" w:firstRowLastColumn="0" w:lastRowFirstColumn="0" w:lastRowLastColumn="0"/>
          <w:tblHeader/>
        </w:trPr>
        <w:tc>
          <w:tcPr>
            <w:tcW w:w="0" w:type="auto"/>
          </w:tcPr>
          <w:p w14:paraId="642019BE" w14:textId="77777777" w:rsidR="004A517B" w:rsidRPr="00F32E69" w:rsidRDefault="00B85F96">
            <w:pPr>
              <w:pStyle w:val="Compact"/>
            </w:pPr>
            <w:r w:rsidRPr="00F32E69">
              <w:t>Variable</w:t>
            </w:r>
          </w:p>
        </w:tc>
        <w:tc>
          <w:tcPr>
            <w:tcW w:w="0" w:type="auto"/>
          </w:tcPr>
          <w:p w14:paraId="3CA99167" w14:textId="77777777" w:rsidR="004A517B" w:rsidRPr="00F32E69" w:rsidRDefault="00B85F96">
            <w:pPr>
              <w:pStyle w:val="Compact"/>
              <w:jc w:val="right"/>
            </w:pPr>
            <w:r w:rsidRPr="00F32E69">
              <w:t>Estimate</w:t>
            </w:r>
          </w:p>
        </w:tc>
        <w:tc>
          <w:tcPr>
            <w:tcW w:w="0" w:type="auto"/>
          </w:tcPr>
          <w:p w14:paraId="4F2DFBE5" w14:textId="77777777" w:rsidR="004A517B" w:rsidRPr="00F32E69" w:rsidRDefault="00B85F96">
            <w:pPr>
              <w:pStyle w:val="Compact"/>
              <w:jc w:val="right"/>
            </w:pPr>
            <w:r w:rsidRPr="00F32E69">
              <w:t>Std. Error</w:t>
            </w:r>
          </w:p>
        </w:tc>
        <w:tc>
          <w:tcPr>
            <w:tcW w:w="0" w:type="auto"/>
          </w:tcPr>
          <w:p w14:paraId="476E9190" w14:textId="77777777" w:rsidR="004A517B" w:rsidRPr="00F32E69" w:rsidRDefault="00B85F96">
            <w:pPr>
              <w:pStyle w:val="Compact"/>
              <w:jc w:val="right"/>
            </w:pPr>
            <w:r w:rsidRPr="00F32E69">
              <w:t>z</w:t>
            </w:r>
          </w:p>
        </w:tc>
        <w:tc>
          <w:tcPr>
            <w:tcW w:w="0" w:type="auto"/>
          </w:tcPr>
          <w:p w14:paraId="41CE90A8" w14:textId="77777777" w:rsidR="004A517B" w:rsidRPr="00F32E69" w:rsidRDefault="00B85F96">
            <w:pPr>
              <w:pStyle w:val="Compact"/>
              <w:jc w:val="right"/>
            </w:pPr>
            <w:r w:rsidRPr="00F32E69">
              <w:t>p-value</w:t>
            </w:r>
          </w:p>
        </w:tc>
      </w:tr>
      <w:tr w:rsidR="00F32E69" w:rsidRPr="00F32E69" w14:paraId="6574F513" w14:textId="77777777">
        <w:tc>
          <w:tcPr>
            <w:tcW w:w="0" w:type="auto"/>
          </w:tcPr>
          <w:p w14:paraId="7DAF0180" w14:textId="77777777" w:rsidR="004A517B" w:rsidRPr="00F32E69" w:rsidRDefault="00B85F96">
            <w:pPr>
              <w:pStyle w:val="Compact"/>
            </w:pPr>
            <w:r w:rsidRPr="00F32E69">
              <w:t>(Intercept)</w:t>
            </w:r>
          </w:p>
        </w:tc>
        <w:tc>
          <w:tcPr>
            <w:tcW w:w="0" w:type="auto"/>
          </w:tcPr>
          <w:p w14:paraId="093AB790" w14:textId="77777777" w:rsidR="004A517B" w:rsidRPr="00F32E69" w:rsidRDefault="00B85F96">
            <w:pPr>
              <w:pStyle w:val="Compact"/>
              <w:jc w:val="right"/>
            </w:pPr>
            <w:r w:rsidRPr="00F32E69">
              <w:t>4.577</w:t>
            </w:r>
          </w:p>
        </w:tc>
        <w:tc>
          <w:tcPr>
            <w:tcW w:w="0" w:type="auto"/>
          </w:tcPr>
          <w:p w14:paraId="29CEE1B7" w14:textId="77777777" w:rsidR="004A517B" w:rsidRPr="00F32E69" w:rsidRDefault="00B85F96">
            <w:pPr>
              <w:pStyle w:val="Compact"/>
              <w:jc w:val="right"/>
            </w:pPr>
            <w:r w:rsidRPr="00F32E69">
              <w:t>0.1543</w:t>
            </w:r>
          </w:p>
        </w:tc>
        <w:tc>
          <w:tcPr>
            <w:tcW w:w="0" w:type="auto"/>
          </w:tcPr>
          <w:p w14:paraId="0CFDBDC2" w14:textId="77777777" w:rsidR="004A517B" w:rsidRPr="00F32E69" w:rsidRDefault="00B85F96">
            <w:pPr>
              <w:pStyle w:val="Compact"/>
              <w:jc w:val="right"/>
            </w:pPr>
            <w:r w:rsidRPr="00F32E69">
              <w:t>29.6621</w:t>
            </w:r>
          </w:p>
        </w:tc>
        <w:tc>
          <w:tcPr>
            <w:tcW w:w="0" w:type="auto"/>
          </w:tcPr>
          <w:p w14:paraId="4B584315" w14:textId="77777777" w:rsidR="004A517B" w:rsidRPr="00F32E69" w:rsidRDefault="00B85F96">
            <w:pPr>
              <w:pStyle w:val="Compact"/>
              <w:jc w:val="right"/>
            </w:pPr>
            <w:r w:rsidRPr="00F32E69">
              <w:t>0</w:t>
            </w:r>
          </w:p>
        </w:tc>
      </w:tr>
    </w:tbl>
    <w:bookmarkEnd w:id="12"/>
    <w:p w14:paraId="2CF9FBDE" w14:textId="77777777" w:rsidR="004A517B" w:rsidRPr="00F32E69" w:rsidRDefault="00B85F96">
      <w:pPr>
        <w:pStyle w:val="BodyText"/>
        <w:rPr>
          <w:i/>
          <w:iCs/>
        </w:rPr>
      </w:pPr>
      <w:r w:rsidRPr="00F32E69">
        <w:rPr>
          <w:i/>
          <w:iCs/>
        </w:rPr>
        <w:t>Model diagnostics: Log-likelihood = -234.23; AIC = 470.46; BIC = 473.49</w:t>
      </w:r>
    </w:p>
    <w:p w14:paraId="01EB4B7A" w14:textId="57BD6C00" w:rsidR="00170928" w:rsidRPr="00F32E69" w:rsidRDefault="00170928">
      <w:pPr>
        <w:pStyle w:val="BodyText"/>
      </w:pPr>
      <w:r w:rsidRPr="00F32E69">
        <w:rPr>
          <w:i/>
          <w:iCs/>
        </w:rPr>
        <w:t>AIC: Akaike Information Criterion</w:t>
      </w:r>
      <w:r w:rsidRPr="00F32E69">
        <w:rPr>
          <w:i/>
          <w:iCs/>
        </w:rPr>
        <w:br/>
        <w:t xml:space="preserve">BIC: </w:t>
      </w:r>
      <w:r w:rsidR="00B079EC" w:rsidRPr="00F32E69">
        <w:rPr>
          <w:i/>
          <w:iCs/>
        </w:rPr>
        <w:t>Bayesian Information Criterion</w:t>
      </w:r>
    </w:p>
    <w:p w14:paraId="6A05A809" w14:textId="77777777" w:rsidR="004A517B" w:rsidRPr="00F32E69" w:rsidRDefault="00B85F96">
      <w:r w:rsidRPr="00F32E69">
        <w:br w:type="page"/>
      </w:r>
    </w:p>
    <w:p w14:paraId="6B9B95C5" w14:textId="77777777" w:rsidR="004A517B" w:rsidRPr="00F32E69" w:rsidRDefault="00B85F96">
      <w:pPr>
        <w:pStyle w:val="Heading4"/>
        <w:rPr>
          <w:color w:val="auto"/>
        </w:rPr>
      </w:pPr>
      <w:bookmarkStart w:id="13" w:name="weibull"/>
      <w:bookmarkEnd w:id="10"/>
      <w:r w:rsidRPr="00F32E69">
        <w:rPr>
          <w:color w:val="auto"/>
        </w:rPr>
        <w:lastRenderedPageBreak/>
        <w:t>Weibull</w:t>
      </w:r>
    </w:p>
    <w:p w14:paraId="0DB149D7" w14:textId="03886C38" w:rsidR="00E73E57" w:rsidRPr="00F32E69" w:rsidRDefault="00E73E57" w:rsidP="00867597">
      <w:pPr>
        <w:pStyle w:val="BodyText"/>
      </w:pPr>
      <w:r w:rsidRPr="00F32E69">
        <w:rPr>
          <w:b/>
          <w:bCs/>
          <w:i/>
          <w:iCs/>
        </w:rPr>
        <w:t>Cohort 1 Figure 3: Kaplan-Meier plot with Weibull fit</w:t>
      </w:r>
      <w:r w:rsidRPr="00F32E69">
        <w:t xml:space="preserve"> </w:t>
      </w:r>
      <w:r w:rsidRPr="00F32E69">
        <w:rPr>
          <w:b/>
          <w:bCs/>
          <w:i/>
          <w:iCs/>
        </w:rPr>
        <w:t xml:space="preserve">of overall survival </w:t>
      </w:r>
      <w:r w:rsidRPr="00F32E69">
        <w:rPr>
          <w:rFonts w:ascii="Cambria" w:eastAsia="Cambria" w:hAnsi="Cambria" w:cs="Cambria"/>
          <w:b/>
          <w:bCs/>
          <w:i/>
          <w:iCs/>
        </w:rPr>
        <w:t xml:space="preserve">amongst patients who have received </w:t>
      </w:r>
      <w:r w:rsidRPr="00F32E69">
        <w:rPr>
          <w:b/>
          <w:bCs/>
          <w:i/>
          <w:iCs/>
        </w:rPr>
        <w:t>tisagenlecleucel</w:t>
      </w:r>
    </w:p>
    <w:tbl>
      <w:tblPr>
        <w:tblStyle w:val="Table"/>
        <w:tblW w:w="5000" w:type="pct"/>
        <w:tblLook w:val="0000" w:firstRow="0" w:lastRow="0" w:firstColumn="0" w:lastColumn="0" w:noHBand="0" w:noVBand="0"/>
      </w:tblPr>
      <w:tblGrid>
        <w:gridCol w:w="9360"/>
      </w:tblGrid>
      <w:tr w:rsidR="00F32E69" w:rsidRPr="00F32E69" w14:paraId="48D90A41" w14:textId="77777777">
        <w:tc>
          <w:tcPr>
            <w:tcW w:w="0" w:type="auto"/>
          </w:tcPr>
          <w:p w14:paraId="5A39BBE3" w14:textId="77777777" w:rsidR="004A517B" w:rsidRPr="00F32E69" w:rsidRDefault="00B85F96">
            <w:pPr>
              <w:jc w:val="center"/>
            </w:pPr>
            <w:bookmarkStart w:id="14" w:name="fig-km-wb"/>
            <w:r w:rsidRPr="00F32E69">
              <w:rPr>
                <w:noProof/>
              </w:rPr>
              <w:drawing>
                <wp:inline distT="0" distB="0" distL="0" distR="0" wp14:anchorId="55AF3F4F" wp14:editId="356FB02E">
                  <wp:extent cx="4620126" cy="3696101"/>
                  <wp:effectExtent l="0" t="0" r="0" b="0"/>
                  <wp:docPr id="39" name="Picture" descr="A Kaplan-Meier plot showing overall survival over time for individuals who have received tisagenlecleucel, with an overlaid Weibull model fit. "/>
                  <wp:cNvGraphicFramePr/>
                  <a:graphic xmlns:a="http://schemas.openxmlformats.org/drawingml/2006/main">
                    <a:graphicData uri="http://schemas.openxmlformats.org/drawingml/2006/picture">
                      <pic:pic xmlns:pic="http://schemas.openxmlformats.org/drawingml/2006/picture">
                        <pic:nvPicPr>
                          <pic:cNvPr id="39" name="Picture" descr="A Kaplan-Meier plot showing overall survival over time for individuals who have received tisagenlecleucel, with an overlaid Weibull model fit. "/>
                          <pic:cNvPicPr>
                            <a:picLocks noChangeAspect="1" noChangeArrowheads="1"/>
                          </pic:cNvPicPr>
                        </pic:nvPicPr>
                        <pic:blipFill>
                          <a:blip r:embed="rId13"/>
                          <a:stretch>
                            <a:fillRect/>
                          </a:stretch>
                        </pic:blipFill>
                        <pic:spPr bwMode="auto">
                          <a:xfrm>
                            <a:off x="0" y="0"/>
                            <a:ext cx="4620126" cy="3696101"/>
                          </a:xfrm>
                          <a:prstGeom prst="rect">
                            <a:avLst/>
                          </a:prstGeom>
                          <a:noFill/>
                          <a:ln w="9525">
                            <a:noFill/>
                            <a:headEnd/>
                            <a:tailEnd/>
                          </a:ln>
                        </pic:spPr>
                      </pic:pic>
                    </a:graphicData>
                  </a:graphic>
                </wp:inline>
              </w:drawing>
            </w:r>
          </w:p>
          <w:p w14:paraId="08CBF9B7" w14:textId="1C71726A" w:rsidR="004A517B" w:rsidRPr="00F32E69" w:rsidRDefault="004A517B">
            <w:pPr>
              <w:pStyle w:val="ImageCaption"/>
              <w:spacing w:before="200"/>
            </w:pPr>
          </w:p>
        </w:tc>
        <w:bookmarkEnd w:id="14"/>
      </w:tr>
    </w:tbl>
    <w:p w14:paraId="63E4A9CD" w14:textId="77777777" w:rsidR="004A517B" w:rsidRPr="00F32E69" w:rsidRDefault="00B85F96">
      <w:pPr>
        <w:pStyle w:val="BodyText"/>
      </w:pPr>
      <w:r w:rsidRPr="00F32E69">
        <w:t> </w:t>
      </w:r>
    </w:p>
    <w:p w14:paraId="3F336D7D" w14:textId="78C36FF2" w:rsidR="004A517B" w:rsidRPr="00F32E69" w:rsidRDefault="00E73E57">
      <w:pPr>
        <w:pStyle w:val="TableCaption"/>
      </w:pPr>
      <w:bookmarkStart w:id="15" w:name="tbl-km-wb"/>
      <w:r w:rsidRPr="00F32E69">
        <w:t xml:space="preserve">Cohort 1 </w:t>
      </w:r>
      <w:r w:rsidR="00B85F96" w:rsidRPr="00F32E69">
        <w:t>Table 3: Parameter estimates for Weibull survival model</w:t>
      </w:r>
    </w:p>
    <w:tbl>
      <w:tblPr>
        <w:tblStyle w:val="Table"/>
        <w:tblW w:w="0" w:type="auto"/>
        <w:tblLook w:val="0020" w:firstRow="1" w:lastRow="0" w:firstColumn="0" w:lastColumn="0" w:noHBand="0" w:noVBand="0"/>
        <w:tblCaption w:val="Table 3: Parameter estimates for Weibull survival model"/>
      </w:tblPr>
      <w:tblGrid>
        <w:gridCol w:w="1347"/>
        <w:gridCol w:w="1121"/>
        <w:gridCol w:w="1215"/>
        <w:gridCol w:w="1063"/>
        <w:gridCol w:w="983"/>
      </w:tblGrid>
      <w:tr w:rsidR="00F32E69" w:rsidRPr="00F32E69" w14:paraId="766CDF8A" w14:textId="77777777" w:rsidTr="004A517B">
        <w:trPr>
          <w:cnfStyle w:val="100000000000" w:firstRow="1" w:lastRow="0" w:firstColumn="0" w:lastColumn="0" w:oddVBand="0" w:evenVBand="0" w:oddHBand="0" w:evenHBand="0" w:firstRowFirstColumn="0" w:firstRowLastColumn="0" w:lastRowFirstColumn="0" w:lastRowLastColumn="0"/>
          <w:tblHeader/>
        </w:trPr>
        <w:tc>
          <w:tcPr>
            <w:tcW w:w="0" w:type="auto"/>
          </w:tcPr>
          <w:p w14:paraId="7A7CD502" w14:textId="77777777" w:rsidR="004A517B" w:rsidRPr="00F32E69" w:rsidRDefault="00B85F96">
            <w:pPr>
              <w:pStyle w:val="Compact"/>
            </w:pPr>
            <w:r w:rsidRPr="00F32E69">
              <w:t>Variable</w:t>
            </w:r>
          </w:p>
        </w:tc>
        <w:tc>
          <w:tcPr>
            <w:tcW w:w="0" w:type="auto"/>
          </w:tcPr>
          <w:p w14:paraId="7FB095E9" w14:textId="77777777" w:rsidR="004A517B" w:rsidRPr="00F32E69" w:rsidRDefault="00B85F96">
            <w:pPr>
              <w:pStyle w:val="Compact"/>
              <w:jc w:val="right"/>
            </w:pPr>
            <w:r w:rsidRPr="00F32E69">
              <w:t>Estimate</w:t>
            </w:r>
          </w:p>
        </w:tc>
        <w:tc>
          <w:tcPr>
            <w:tcW w:w="0" w:type="auto"/>
          </w:tcPr>
          <w:p w14:paraId="24AAB50A" w14:textId="77777777" w:rsidR="004A517B" w:rsidRPr="00F32E69" w:rsidRDefault="00B85F96">
            <w:pPr>
              <w:pStyle w:val="Compact"/>
              <w:jc w:val="right"/>
            </w:pPr>
            <w:r w:rsidRPr="00F32E69">
              <w:t>Std. Error</w:t>
            </w:r>
          </w:p>
        </w:tc>
        <w:tc>
          <w:tcPr>
            <w:tcW w:w="0" w:type="auto"/>
          </w:tcPr>
          <w:p w14:paraId="0853909A" w14:textId="77777777" w:rsidR="004A517B" w:rsidRPr="00F32E69" w:rsidRDefault="00B85F96">
            <w:pPr>
              <w:pStyle w:val="Compact"/>
              <w:jc w:val="right"/>
            </w:pPr>
            <w:r w:rsidRPr="00F32E69">
              <w:t>z</w:t>
            </w:r>
          </w:p>
        </w:tc>
        <w:tc>
          <w:tcPr>
            <w:tcW w:w="0" w:type="auto"/>
          </w:tcPr>
          <w:p w14:paraId="6B14D691" w14:textId="77777777" w:rsidR="004A517B" w:rsidRPr="00F32E69" w:rsidRDefault="00B85F96">
            <w:pPr>
              <w:pStyle w:val="Compact"/>
              <w:jc w:val="right"/>
            </w:pPr>
            <w:r w:rsidRPr="00F32E69">
              <w:t>p-value</w:t>
            </w:r>
          </w:p>
        </w:tc>
      </w:tr>
      <w:tr w:rsidR="00F32E69" w:rsidRPr="00F32E69" w14:paraId="7F744876" w14:textId="77777777">
        <w:tc>
          <w:tcPr>
            <w:tcW w:w="0" w:type="auto"/>
          </w:tcPr>
          <w:p w14:paraId="727A568A" w14:textId="77777777" w:rsidR="004A517B" w:rsidRPr="00F32E69" w:rsidRDefault="00B85F96">
            <w:pPr>
              <w:pStyle w:val="Compact"/>
            </w:pPr>
            <w:r w:rsidRPr="00F32E69">
              <w:t>(Intercept)</w:t>
            </w:r>
          </w:p>
        </w:tc>
        <w:tc>
          <w:tcPr>
            <w:tcW w:w="0" w:type="auto"/>
          </w:tcPr>
          <w:p w14:paraId="5A62FB86" w14:textId="77777777" w:rsidR="004A517B" w:rsidRPr="00F32E69" w:rsidRDefault="00B85F96">
            <w:pPr>
              <w:pStyle w:val="Compact"/>
              <w:jc w:val="right"/>
            </w:pPr>
            <w:r w:rsidRPr="00F32E69">
              <w:t>5.1257</w:t>
            </w:r>
          </w:p>
        </w:tc>
        <w:tc>
          <w:tcPr>
            <w:tcW w:w="0" w:type="auto"/>
          </w:tcPr>
          <w:p w14:paraId="78CBE242" w14:textId="77777777" w:rsidR="004A517B" w:rsidRPr="00F32E69" w:rsidRDefault="00B85F96">
            <w:pPr>
              <w:pStyle w:val="Compact"/>
              <w:jc w:val="right"/>
            </w:pPr>
            <w:r w:rsidRPr="00F32E69">
              <w:t>0.3323</w:t>
            </w:r>
          </w:p>
        </w:tc>
        <w:tc>
          <w:tcPr>
            <w:tcW w:w="0" w:type="auto"/>
          </w:tcPr>
          <w:p w14:paraId="3358F4A1" w14:textId="77777777" w:rsidR="004A517B" w:rsidRPr="00F32E69" w:rsidRDefault="00B85F96">
            <w:pPr>
              <w:pStyle w:val="Compact"/>
              <w:jc w:val="right"/>
            </w:pPr>
            <w:r w:rsidRPr="00F32E69">
              <w:t>15.4232</w:t>
            </w:r>
          </w:p>
        </w:tc>
        <w:tc>
          <w:tcPr>
            <w:tcW w:w="0" w:type="auto"/>
          </w:tcPr>
          <w:p w14:paraId="755CCED1" w14:textId="77777777" w:rsidR="004A517B" w:rsidRPr="00F32E69" w:rsidRDefault="00B85F96">
            <w:pPr>
              <w:pStyle w:val="Compact"/>
              <w:jc w:val="right"/>
            </w:pPr>
            <w:r w:rsidRPr="00F32E69">
              <w:t>0.0000</w:t>
            </w:r>
          </w:p>
        </w:tc>
      </w:tr>
      <w:tr w:rsidR="00F32E69" w:rsidRPr="00F32E69" w14:paraId="71930218" w14:textId="77777777">
        <w:tc>
          <w:tcPr>
            <w:tcW w:w="0" w:type="auto"/>
          </w:tcPr>
          <w:p w14:paraId="070D88A0" w14:textId="77777777" w:rsidR="004A517B" w:rsidRPr="00F32E69" w:rsidRDefault="00B85F96">
            <w:pPr>
              <w:pStyle w:val="Compact"/>
            </w:pPr>
            <w:r w:rsidRPr="00F32E69">
              <w:t>Log(scale)</w:t>
            </w:r>
          </w:p>
        </w:tc>
        <w:tc>
          <w:tcPr>
            <w:tcW w:w="0" w:type="auto"/>
          </w:tcPr>
          <w:p w14:paraId="0C8DB2DE" w14:textId="77777777" w:rsidR="004A517B" w:rsidRPr="00F32E69" w:rsidRDefault="00B85F96">
            <w:pPr>
              <w:pStyle w:val="Compact"/>
              <w:jc w:val="right"/>
            </w:pPr>
            <w:r w:rsidRPr="00F32E69">
              <w:t>0.4114</w:t>
            </w:r>
          </w:p>
        </w:tc>
        <w:tc>
          <w:tcPr>
            <w:tcW w:w="0" w:type="auto"/>
          </w:tcPr>
          <w:p w14:paraId="2DA7FFEE" w14:textId="77777777" w:rsidR="004A517B" w:rsidRPr="00F32E69" w:rsidRDefault="00B85F96">
            <w:pPr>
              <w:pStyle w:val="Compact"/>
              <w:jc w:val="right"/>
            </w:pPr>
            <w:r w:rsidRPr="00F32E69">
              <w:t>0.1389</w:t>
            </w:r>
          </w:p>
        </w:tc>
        <w:tc>
          <w:tcPr>
            <w:tcW w:w="0" w:type="auto"/>
          </w:tcPr>
          <w:p w14:paraId="77B65644" w14:textId="77777777" w:rsidR="004A517B" w:rsidRPr="00F32E69" w:rsidRDefault="00B85F96">
            <w:pPr>
              <w:pStyle w:val="Compact"/>
              <w:jc w:val="right"/>
            </w:pPr>
            <w:r w:rsidRPr="00F32E69">
              <w:t>2.9618</w:t>
            </w:r>
          </w:p>
        </w:tc>
        <w:tc>
          <w:tcPr>
            <w:tcW w:w="0" w:type="auto"/>
          </w:tcPr>
          <w:p w14:paraId="5DA2F324" w14:textId="77777777" w:rsidR="004A517B" w:rsidRPr="00F32E69" w:rsidRDefault="00B85F96">
            <w:pPr>
              <w:pStyle w:val="Compact"/>
              <w:jc w:val="right"/>
            </w:pPr>
            <w:r w:rsidRPr="00F32E69">
              <w:t>0.0031</w:t>
            </w:r>
          </w:p>
        </w:tc>
      </w:tr>
    </w:tbl>
    <w:bookmarkEnd w:id="15"/>
    <w:p w14:paraId="4730AC1B" w14:textId="77777777" w:rsidR="004A517B" w:rsidRPr="00F32E69" w:rsidRDefault="00B85F96">
      <w:pPr>
        <w:pStyle w:val="BodyText"/>
      </w:pPr>
      <w:r w:rsidRPr="00F32E69">
        <w:rPr>
          <w:i/>
          <w:iCs/>
        </w:rPr>
        <w:t>Model diagnostics: Log-likelihood = -229; AIC = 462; BIC = 468.05</w:t>
      </w:r>
    </w:p>
    <w:p w14:paraId="41C8F396" w14:textId="77777777" w:rsidR="004A517B" w:rsidRPr="00F32E69" w:rsidRDefault="00B85F96">
      <w:r w:rsidRPr="00F32E69">
        <w:br w:type="page"/>
      </w:r>
    </w:p>
    <w:p w14:paraId="15EF20B7" w14:textId="77777777" w:rsidR="004A517B" w:rsidRPr="00F32E69" w:rsidRDefault="00B85F96">
      <w:pPr>
        <w:pStyle w:val="Heading4"/>
        <w:rPr>
          <w:color w:val="auto"/>
        </w:rPr>
      </w:pPr>
      <w:bookmarkStart w:id="16" w:name="log-normal"/>
      <w:bookmarkEnd w:id="13"/>
      <w:r w:rsidRPr="00F32E69">
        <w:rPr>
          <w:color w:val="auto"/>
        </w:rPr>
        <w:lastRenderedPageBreak/>
        <w:t>Log-Normal</w:t>
      </w:r>
    </w:p>
    <w:p w14:paraId="04C5384E" w14:textId="2ABD7655" w:rsidR="00811841" w:rsidRPr="00F32E69" w:rsidRDefault="00811841" w:rsidP="00867597">
      <w:pPr>
        <w:pStyle w:val="BodyText"/>
        <w:rPr>
          <w:b/>
          <w:iCs/>
        </w:rPr>
      </w:pPr>
      <w:r w:rsidRPr="00F32E69">
        <w:rPr>
          <w:b/>
          <w:bCs/>
          <w:i/>
          <w:iCs/>
        </w:rPr>
        <w:t xml:space="preserve">Cohort 1 Figure 4: Kaplan-Meier plot with Log-Normal fit of overall survival </w:t>
      </w:r>
      <w:r w:rsidRPr="00F32E69">
        <w:rPr>
          <w:rFonts w:ascii="Cambria" w:eastAsia="Cambria" w:hAnsi="Cambria" w:cs="Cambria"/>
          <w:b/>
          <w:bCs/>
          <w:i/>
          <w:iCs/>
        </w:rPr>
        <w:t xml:space="preserve">amongst patients who have received </w:t>
      </w:r>
      <w:r w:rsidRPr="00F32E69">
        <w:rPr>
          <w:b/>
          <w:bCs/>
          <w:i/>
          <w:iCs/>
        </w:rPr>
        <w:t>tisagenlecleucel</w:t>
      </w:r>
    </w:p>
    <w:tbl>
      <w:tblPr>
        <w:tblStyle w:val="Table"/>
        <w:tblW w:w="5000" w:type="pct"/>
        <w:tblLook w:val="0000" w:firstRow="0" w:lastRow="0" w:firstColumn="0" w:lastColumn="0" w:noHBand="0" w:noVBand="0"/>
      </w:tblPr>
      <w:tblGrid>
        <w:gridCol w:w="9360"/>
      </w:tblGrid>
      <w:tr w:rsidR="00F32E69" w:rsidRPr="00F32E69" w14:paraId="409973C7" w14:textId="77777777">
        <w:tc>
          <w:tcPr>
            <w:tcW w:w="0" w:type="auto"/>
          </w:tcPr>
          <w:p w14:paraId="72A3D3EC" w14:textId="77777777" w:rsidR="004A517B" w:rsidRPr="00F32E69" w:rsidRDefault="00B85F96">
            <w:pPr>
              <w:jc w:val="center"/>
            </w:pPr>
            <w:bookmarkStart w:id="17" w:name="fig-km-ln"/>
            <w:r w:rsidRPr="00F32E69">
              <w:rPr>
                <w:noProof/>
              </w:rPr>
              <w:drawing>
                <wp:inline distT="0" distB="0" distL="0" distR="0" wp14:anchorId="32069C00" wp14:editId="694BC0DF">
                  <wp:extent cx="4620126" cy="3696101"/>
                  <wp:effectExtent l="0" t="0" r="0" b="0"/>
                  <wp:docPr id="45" name="Picture" descr="A Kaplan-Meier plot showing overall survival over time for individuals who have received tisagenlecleucel, with an overlaid log-normal model fit. "/>
                  <wp:cNvGraphicFramePr/>
                  <a:graphic xmlns:a="http://schemas.openxmlformats.org/drawingml/2006/main">
                    <a:graphicData uri="http://schemas.openxmlformats.org/drawingml/2006/picture">
                      <pic:pic xmlns:pic="http://schemas.openxmlformats.org/drawingml/2006/picture">
                        <pic:nvPicPr>
                          <pic:cNvPr id="45" name="Picture" descr="A Kaplan-Meier plot showing overall survival over time for individuals who have received tisagenlecleucel, with an overlaid log-normal model fit. "/>
                          <pic:cNvPicPr>
                            <a:picLocks noChangeAspect="1" noChangeArrowheads="1"/>
                          </pic:cNvPicPr>
                        </pic:nvPicPr>
                        <pic:blipFill>
                          <a:blip r:embed="rId14"/>
                          <a:stretch>
                            <a:fillRect/>
                          </a:stretch>
                        </pic:blipFill>
                        <pic:spPr bwMode="auto">
                          <a:xfrm>
                            <a:off x="0" y="0"/>
                            <a:ext cx="4620126" cy="3696101"/>
                          </a:xfrm>
                          <a:prstGeom prst="rect">
                            <a:avLst/>
                          </a:prstGeom>
                          <a:noFill/>
                          <a:ln w="9525">
                            <a:noFill/>
                            <a:headEnd/>
                            <a:tailEnd/>
                          </a:ln>
                        </pic:spPr>
                      </pic:pic>
                    </a:graphicData>
                  </a:graphic>
                </wp:inline>
              </w:drawing>
            </w:r>
          </w:p>
          <w:p w14:paraId="2EB2C408" w14:textId="473F175C" w:rsidR="004A517B" w:rsidRPr="00F32E69" w:rsidRDefault="004A517B">
            <w:pPr>
              <w:pStyle w:val="ImageCaption"/>
              <w:spacing w:before="200"/>
            </w:pPr>
          </w:p>
        </w:tc>
        <w:bookmarkEnd w:id="17"/>
      </w:tr>
    </w:tbl>
    <w:p w14:paraId="4F6584BE" w14:textId="77777777" w:rsidR="004A517B" w:rsidRPr="00F32E69" w:rsidRDefault="00B85F96">
      <w:pPr>
        <w:pStyle w:val="BodyText"/>
      </w:pPr>
      <w:r w:rsidRPr="00F32E69">
        <w:t> </w:t>
      </w:r>
    </w:p>
    <w:p w14:paraId="2842478C" w14:textId="78AF6344" w:rsidR="004A517B" w:rsidRPr="00F32E69" w:rsidRDefault="00811841">
      <w:pPr>
        <w:pStyle w:val="TableCaption"/>
      </w:pPr>
      <w:bookmarkStart w:id="18" w:name="tbl-km-ln"/>
      <w:r w:rsidRPr="00F32E69">
        <w:t xml:space="preserve">Cohort 1 </w:t>
      </w:r>
      <w:r w:rsidR="00B85F96" w:rsidRPr="00F32E69">
        <w:t>Table 4: Parameter estimates for Log-Normal survival model</w:t>
      </w:r>
    </w:p>
    <w:tbl>
      <w:tblPr>
        <w:tblStyle w:val="Table"/>
        <w:tblW w:w="0" w:type="auto"/>
        <w:tblLook w:val="0020" w:firstRow="1" w:lastRow="0" w:firstColumn="0" w:lastColumn="0" w:noHBand="0" w:noVBand="0"/>
        <w:tblCaption w:val="Table 4: Parameter estimates for Log-Normal survival model"/>
      </w:tblPr>
      <w:tblGrid>
        <w:gridCol w:w="1347"/>
        <w:gridCol w:w="1121"/>
        <w:gridCol w:w="1215"/>
        <w:gridCol w:w="1063"/>
        <w:gridCol w:w="983"/>
      </w:tblGrid>
      <w:tr w:rsidR="00F32E69" w:rsidRPr="00F32E69" w14:paraId="750F5655" w14:textId="77777777" w:rsidTr="004A517B">
        <w:trPr>
          <w:cnfStyle w:val="100000000000" w:firstRow="1" w:lastRow="0" w:firstColumn="0" w:lastColumn="0" w:oddVBand="0" w:evenVBand="0" w:oddHBand="0" w:evenHBand="0" w:firstRowFirstColumn="0" w:firstRowLastColumn="0" w:lastRowFirstColumn="0" w:lastRowLastColumn="0"/>
          <w:tblHeader/>
        </w:trPr>
        <w:tc>
          <w:tcPr>
            <w:tcW w:w="0" w:type="auto"/>
          </w:tcPr>
          <w:p w14:paraId="0D96A7E5" w14:textId="77777777" w:rsidR="004A517B" w:rsidRPr="00F32E69" w:rsidRDefault="00B85F96">
            <w:pPr>
              <w:pStyle w:val="Compact"/>
            </w:pPr>
            <w:r w:rsidRPr="00F32E69">
              <w:t>Variable</w:t>
            </w:r>
          </w:p>
        </w:tc>
        <w:tc>
          <w:tcPr>
            <w:tcW w:w="0" w:type="auto"/>
          </w:tcPr>
          <w:p w14:paraId="62D77E48" w14:textId="77777777" w:rsidR="004A517B" w:rsidRPr="00F32E69" w:rsidRDefault="00B85F96">
            <w:pPr>
              <w:pStyle w:val="Compact"/>
              <w:jc w:val="right"/>
            </w:pPr>
            <w:r w:rsidRPr="00F32E69">
              <w:t>Estimate</w:t>
            </w:r>
          </w:p>
        </w:tc>
        <w:tc>
          <w:tcPr>
            <w:tcW w:w="0" w:type="auto"/>
          </w:tcPr>
          <w:p w14:paraId="2C4E00E8" w14:textId="77777777" w:rsidR="004A517B" w:rsidRPr="00F32E69" w:rsidRDefault="00B85F96">
            <w:pPr>
              <w:pStyle w:val="Compact"/>
              <w:jc w:val="right"/>
            </w:pPr>
            <w:r w:rsidRPr="00F32E69">
              <w:t>Std. Error</w:t>
            </w:r>
          </w:p>
        </w:tc>
        <w:tc>
          <w:tcPr>
            <w:tcW w:w="0" w:type="auto"/>
          </w:tcPr>
          <w:p w14:paraId="0FCD4EEB" w14:textId="77777777" w:rsidR="004A517B" w:rsidRPr="00F32E69" w:rsidRDefault="00B85F96">
            <w:pPr>
              <w:pStyle w:val="Compact"/>
              <w:jc w:val="right"/>
            </w:pPr>
            <w:r w:rsidRPr="00F32E69">
              <w:t>z</w:t>
            </w:r>
          </w:p>
        </w:tc>
        <w:tc>
          <w:tcPr>
            <w:tcW w:w="0" w:type="auto"/>
          </w:tcPr>
          <w:p w14:paraId="629B67FE" w14:textId="77777777" w:rsidR="004A517B" w:rsidRPr="00F32E69" w:rsidRDefault="00B85F96">
            <w:pPr>
              <w:pStyle w:val="Compact"/>
              <w:jc w:val="right"/>
            </w:pPr>
            <w:r w:rsidRPr="00F32E69">
              <w:t>p-value</w:t>
            </w:r>
          </w:p>
        </w:tc>
      </w:tr>
      <w:tr w:rsidR="00F32E69" w:rsidRPr="00F32E69" w14:paraId="1898023B" w14:textId="77777777">
        <w:tc>
          <w:tcPr>
            <w:tcW w:w="0" w:type="auto"/>
          </w:tcPr>
          <w:p w14:paraId="4A80386D" w14:textId="77777777" w:rsidR="004A517B" w:rsidRPr="00F32E69" w:rsidRDefault="00B85F96">
            <w:pPr>
              <w:pStyle w:val="Compact"/>
            </w:pPr>
            <w:r w:rsidRPr="00F32E69">
              <w:t>(Intercept)</w:t>
            </w:r>
          </w:p>
        </w:tc>
        <w:tc>
          <w:tcPr>
            <w:tcW w:w="0" w:type="auto"/>
          </w:tcPr>
          <w:p w14:paraId="40EE9BFC" w14:textId="77777777" w:rsidR="004A517B" w:rsidRPr="00F32E69" w:rsidRDefault="00B85F96">
            <w:pPr>
              <w:pStyle w:val="Compact"/>
              <w:jc w:val="right"/>
            </w:pPr>
            <w:r w:rsidRPr="00F32E69">
              <w:t>4.8764</w:t>
            </w:r>
          </w:p>
        </w:tc>
        <w:tc>
          <w:tcPr>
            <w:tcW w:w="0" w:type="auto"/>
          </w:tcPr>
          <w:p w14:paraId="2C635F86" w14:textId="77777777" w:rsidR="004A517B" w:rsidRPr="00F32E69" w:rsidRDefault="00B85F96">
            <w:pPr>
              <w:pStyle w:val="Compact"/>
              <w:jc w:val="right"/>
            </w:pPr>
            <w:r w:rsidRPr="00F32E69">
              <w:t>0.3722</w:t>
            </w:r>
          </w:p>
        </w:tc>
        <w:tc>
          <w:tcPr>
            <w:tcW w:w="0" w:type="auto"/>
          </w:tcPr>
          <w:p w14:paraId="38F031E7" w14:textId="77777777" w:rsidR="004A517B" w:rsidRPr="00F32E69" w:rsidRDefault="00B85F96">
            <w:pPr>
              <w:pStyle w:val="Compact"/>
              <w:jc w:val="right"/>
            </w:pPr>
            <w:r w:rsidRPr="00F32E69">
              <w:t>13.1024</w:t>
            </w:r>
          </w:p>
        </w:tc>
        <w:tc>
          <w:tcPr>
            <w:tcW w:w="0" w:type="auto"/>
          </w:tcPr>
          <w:p w14:paraId="2322F001" w14:textId="77777777" w:rsidR="004A517B" w:rsidRPr="00F32E69" w:rsidRDefault="00B85F96">
            <w:pPr>
              <w:pStyle w:val="Compact"/>
              <w:jc w:val="right"/>
            </w:pPr>
            <w:r w:rsidRPr="00F32E69">
              <w:t>0</w:t>
            </w:r>
          </w:p>
        </w:tc>
      </w:tr>
      <w:tr w:rsidR="00F32E69" w:rsidRPr="00F32E69" w14:paraId="23781A95" w14:textId="77777777">
        <w:tc>
          <w:tcPr>
            <w:tcW w:w="0" w:type="auto"/>
          </w:tcPr>
          <w:p w14:paraId="62D21D78" w14:textId="77777777" w:rsidR="004A517B" w:rsidRPr="00F32E69" w:rsidRDefault="00B85F96">
            <w:pPr>
              <w:pStyle w:val="Compact"/>
            </w:pPr>
            <w:r w:rsidRPr="00F32E69">
              <w:t>Log(scale)</w:t>
            </w:r>
          </w:p>
        </w:tc>
        <w:tc>
          <w:tcPr>
            <w:tcW w:w="0" w:type="auto"/>
          </w:tcPr>
          <w:p w14:paraId="0684F8D7" w14:textId="77777777" w:rsidR="004A517B" w:rsidRPr="00F32E69" w:rsidRDefault="00B85F96">
            <w:pPr>
              <w:pStyle w:val="Compact"/>
              <w:jc w:val="right"/>
            </w:pPr>
            <w:r w:rsidRPr="00F32E69">
              <w:t>0.9239</w:t>
            </w:r>
          </w:p>
        </w:tc>
        <w:tc>
          <w:tcPr>
            <w:tcW w:w="0" w:type="auto"/>
          </w:tcPr>
          <w:p w14:paraId="72514C01" w14:textId="77777777" w:rsidR="004A517B" w:rsidRPr="00F32E69" w:rsidRDefault="00B85F96">
            <w:pPr>
              <w:pStyle w:val="Compact"/>
              <w:jc w:val="right"/>
            </w:pPr>
            <w:r w:rsidRPr="00F32E69">
              <w:t>0.1238</w:t>
            </w:r>
          </w:p>
        </w:tc>
        <w:tc>
          <w:tcPr>
            <w:tcW w:w="0" w:type="auto"/>
          </w:tcPr>
          <w:p w14:paraId="1F57B3D1" w14:textId="77777777" w:rsidR="004A517B" w:rsidRPr="00F32E69" w:rsidRDefault="00B85F96">
            <w:pPr>
              <w:pStyle w:val="Compact"/>
              <w:jc w:val="right"/>
            </w:pPr>
            <w:r w:rsidRPr="00F32E69">
              <w:t>7.4607</w:t>
            </w:r>
          </w:p>
        </w:tc>
        <w:tc>
          <w:tcPr>
            <w:tcW w:w="0" w:type="auto"/>
          </w:tcPr>
          <w:p w14:paraId="7B7EFE02" w14:textId="77777777" w:rsidR="004A517B" w:rsidRPr="00F32E69" w:rsidRDefault="00B85F96">
            <w:pPr>
              <w:pStyle w:val="Compact"/>
              <w:jc w:val="right"/>
            </w:pPr>
            <w:r w:rsidRPr="00F32E69">
              <w:t>0</w:t>
            </w:r>
          </w:p>
        </w:tc>
      </w:tr>
    </w:tbl>
    <w:bookmarkEnd w:id="18"/>
    <w:p w14:paraId="27BA8AD7" w14:textId="77777777" w:rsidR="004A517B" w:rsidRPr="00F32E69" w:rsidRDefault="00B85F96">
      <w:pPr>
        <w:pStyle w:val="BodyText"/>
      </w:pPr>
      <w:r w:rsidRPr="00F32E69">
        <w:rPr>
          <w:i/>
          <w:iCs/>
        </w:rPr>
        <w:t>Model diagnostics: Log-likelihood = -227.57; AIC = 459.14; BIC = 465.19</w:t>
      </w:r>
    </w:p>
    <w:p w14:paraId="0D0B940D" w14:textId="77777777" w:rsidR="004A517B" w:rsidRPr="00F32E69" w:rsidRDefault="00B85F96">
      <w:r w:rsidRPr="00F32E69">
        <w:br w:type="page"/>
      </w:r>
    </w:p>
    <w:p w14:paraId="5D958480" w14:textId="77777777" w:rsidR="004A517B" w:rsidRPr="00F32E69" w:rsidRDefault="00B85F96">
      <w:pPr>
        <w:pStyle w:val="Heading4"/>
        <w:rPr>
          <w:color w:val="auto"/>
        </w:rPr>
      </w:pPr>
      <w:bookmarkStart w:id="19" w:name="log-logistic"/>
      <w:bookmarkEnd w:id="16"/>
      <w:r w:rsidRPr="00F32E69">
        <w:rPr>
          <w:color w:val="auto"/>
        </w:rPr>
        <w:lastRenderedPageBreak/>
        <w:t>Log-Logistic</w:t>
      </w:r>
    </w:p>
    <w:p w14:paraId="5006F6C9" w14:textId="7AC49F89" w:rsidR="007401B1" w:rsidRPr="00F32E69" w:rsidRDefault="007401B1" w:rsidP="00867597">
      <w:pPr>
        <w:pStyle w:val="BodyText"/>
        <w:rPr>
          <w:b/>
          <w:iCs/>
        </w:rPr>
      </w:pPr>
      <w:r w:rsidRPr="00F32E69">
        <w:rPr>
          <w:b/>
          <w:bCs/>
          <w:i/>
          <w:iCs/>
        </w:rPr>
        <w:t xml:space="preserve">Cohort 1 Figure 5: Kaplan-Meier plot with Log-Logistic fit of overall survival </w:t>
      </w:r>
      <w:r w:rsidRPr="00F32E69">
        <w:rPr>
          <w:rFonts w:ascii="Cambria" w:eastAsia="Cambria" w:hAnsi="Cambria" w:cs="Cambria"/>
          <w:b/>
          <w:bCs/>
          <w:i/>
          <w:iCs/>
        </w:rPr>
        <w:t xml:space="preserve">amongst patients who have received </w:t>
      </w:r>
      <w:r w:rsidRPr="00F32E69">
        <w:rPr>
          <w:b/>
          <w:bCs/>
          <w:i/>
          <w:iCs/>
        </w:rPr>
        <w:t>tisagenlecleucel</w:t>
      </w:r>
    </w:p>
    <w:tbl>
      <w:tblPr>
        <w:tblStyle w:val="Table"/>
        <w:tblW w:w="5000" w:type="pct"/>
        <w:tblLook w:val="0000" w:firstRow="0" w:lastRow="0" w:firstColumn="0" w:lastColumn="0" w:noHBand="0" w:noVBand="0"/>
      </w:tblPr>
      <w:tblGrid>
        <w:gridCol w:w="9360"/>
      </w:tblGrid>
      <w:tr w:rsidR="00F32E69" w:rsidRPr="00F32E69" w14:paraId="34F1003A" w14:textId="77777777">
        <w:tc>
          <w:tcPr>
            <w:tcW w:w="0" w:type="auto"/>
          </w:tcPr>
          <w:p w14:paraId="0E27B00A" w14:textId="77777777" w:rsidR="004A517B" w:rsidRPr="00F32E69" w:rsidRDefault="00B85F96">
            <w:pPr>
              <w:jc w:val="center"/>
            </w:pPr>
            <w:bookmarkStart w:id="20" w:name="fig-km-ll"/>
            <w:r w:rsidRPr="00F32E69">
              <w:rPr>
                <w:noProof/>
              </w:rPr>
              <w:drawing>
                <wp:inline distT="0" distB="0" distL="0" distR="0" wp14:anchorId="406ACEC8" wp14:editId="099B9C25">
                  <wp:extent cx="4620126" cy="3696101"/>
                  <wp:effectExtent l="0" t="0" r="0" b="0"/>
                  <wp:docPr id="51" name="Picture" descr="A Kaplan-Meier plot showing overall survival over time for individuals who have received tisagenlecleucel, with an overlaid log-logistic model fit. "/>
                  <wp:cNvGraphicFramePr/>
                  <a:graphic xmlns:a="http://schemas.openxmlformats.org/drawingml/2006/main">
                    <a:graphicData uri="http://schemas.openxmlformats.org/drawingml/2006/picture">
                      <pic:pic xmlns:pic="http://schemas.openxmlformats.org/drawingml/2006/picture">
                        <pic:nvPicPr>
                          <pic:cNvPr id="51" name="Picture" descr="A Kaplan-Meier plot showing overall survival over time for individuals who have received tisagenlecleucel, with an overlaid log-logistic model fit. "/>
                          <pic:cNvPicPr>
                            <a:picLocks noChangeAspect="1" noChangeArrowheads="1"/>
                          </pic:cNvPicPr>
                        </pic:nvPicPr>
                        <pic:blipFill>
                          <a:blip r:embed="rId15"/>
                          <a:stretch>
                            <a:fillRect/>
                          </a:stretch>
                        </pic:blipFill>
                        <pic:spPr bwMode="auto">
                          <a:xfrm>
                            <a:off x="0" y="0"/>
                            <a:ext cx="4620126" cy="3696101"/>
                          </a:xfrm>
                          <a:prstGeom prst="rect">
                            <a:avLst/>
                          </a:prstGeom>
                          <a:noFill/>
                          <a:ln w="9525">
                            <a:noFill/>
                            <a:headEnd/>
                            <a:tailEnd/>
                          </a:ln>
                        </pic:spPr>
                      </pic:pic>
                    </a:graphicData>
                  </a:graphic>
                </wp:inline>
              </w:drawing>
            </w:r>
          </w:p>
          <w:p w14:paraId="78F37D18" w14:textId="5A700FDE" w:rsidR="004A517B" w:rsidRPr="00F32E69" w:rsidRDefault="004A517B">
            <w:pPr>
              <w:pStyle w:val="ImageCaption"/>
              <w:spacing w:before="200"/>
            </w:pPr>
          </w:p>
        </w:tc>
        <w:bookmarkEnd w:id="20"/>
      </w:tr>
    </w:tbl>
    <w:p w14:paraId="09AF38FC" w14:textId="77777777" w:rsidR="004A517B" w:rsidRPr="00F32E69" w:rsidRDefault="00B85F96">
      <w:pPr>
        <w:pStyle w:val="BodyText"/>
      </w:pPr>
      <w:r w:rsidRPr="00F32E69">
        <w:t> </w:t>
      </w:r>
    </w:p>
    <w:p w14:paraId="0D339EE3" w14:textId="548E5496" w:rsidR="004A517B" w:rsidRPr="00F32E69" w:rsidRDefault="007401B1">
      <w:pPr>
        <w:pStyle w:val="TableCaption"/>
      </w:pPr>
      <w:bookmarkStart w:id="21" w:name="tbl-km-ll"/>
      <w:r w:rsidRPr="00F32E69">
        <w:t xml:space="preserve">Cohort 1 </w:t>
      </w:r>
      <w:r w:rsidR="00B85F96" w:rsidRPr="00F32E69">
        <w:t>Table 5: Parameter estimates for Log-Logistic survival model</w:t>
      </w:r>
    </w:p>
    <w:tbl>
      <w:tblPr>
        <w:tblStyle w:val="Table"/>
        <w:tblW w:w="0" w:type="auto"/>
        <w:tblLook w:val="0020" w:firstRow="1" w:lastRow="0" w:firstColumn="0" w:lastColumn="0" w:noHBand="0" w:noVBand="0"/>
        <w:tblCaption w:val="Table 5: Parameter estimates for Log-Logistic survival model"/>
      </w:tblPr>
      <w:tblGrid>
        <w:gridCol w:w="1347"/>
        <w:gridCol w:w="1121"/>
        <w:gridCol w:w="1215"/>
        <w:gridCol w:w="1063"/>
        <w:gridCol w:w="983"/>
      </w:tblGrid>
      <w:tr w:rsidR="00F32E69" w:rsidRPr="00F32E69" w14:paraId="40C66B6D" w14:textId="77777777" w:rsidTr="004A517B">
        <w:trPr>
          <w:cnfStyle w:val="100000000000" w:firstRow="1" w:lastRow="0" w:firstColumn="0" w:lastColumn="0" w:oddVBand="0" w:evenVBand="0" w:oddHBand="0" w:evenHBand="0" w:firstRowFirstColumn="0" w:firstRowLastColumn="0" w:lastRowFirstColumn="0" w:lastRowLastColumn="0"/>
          <w:tblHeader/>
        </w:trPr>
        <w:tc>
          <w:tcPr>
            <w:tcW w:w="0" w:type="auto"/>
          </w:tcPr>
          <w:p w14:paraId="695C9554" w14:textId="77777777" w:rsidR="004A517B" w:rsidRPr="00F32E69" w:rsidRDefault="00B85F96">
            <w:pPr>
              <w:pStyle w:val="Compact"/>
            </w:pPr>
            <w:r w:rsidRPr="00F32E69">
              <w:t>Variable</w:t>
            </w:r>
          </w:p>
        </w:tc>
        <w:tc>
          <w:tcPr>
            <w:tcW w:w="0" w:type="auto"/>
          </w:tcPr>
          <w:p w14:paraId="713A4F51" w14:textId="77777777" w:rsidR="004A517B" w:rsidRPr="00F32E69" w:rsidRDefault="00B85F96">
            <w:pPr>
              <w:pStyle w:val="Compact"/>
              <w:jc w:val="right"/>
            </w:pPr>
            <w:r w:rsidRPr="00F32E69">
              <w:t>Estimate</w:t>
            </w:r>
          </w:p>
        </w:tc>
        <w:tc>
          <w:tcPr>
            <w:tcW w:w="0" w:type="auto"/>
          </w:tcPr>
          <w:p w14:paraId="71EAC3ED" w14:textId="77777777" w:rsidR="004A517B" w:rsidRPr="00F32E69" w:rsidRDefault="00B85F96">
            <w:pPr>
              <w:pStyle w:val="Compact"/>
              <w:jc w:val="right"/>
            </w:pPr>
            <w:r w:rsidRPr="00F32E69">
              <w:t>Std. Error</w:t>
            </w:r>
          </w:p>
        </w:tc>
        <w:tc>
          <w:tcPr>
            <w:tcW w:w="0" w:type="auto"/>
          </w:tcPr>
          <w:p w14:paraId="3C0713B1" w14:textId="77777777" w:rsidR="004A517B" w:rsidRPr="00F32E69" w:rsidRDefault="00B85F96">
            <w:pPr>
              <w:pStyle w:val="Compact"/>
              <w:jc w:val="right"/>
            </w:pPr>
            <w:r w:rsidRPr="00F32E69">
              <w:t>z</w:t>
            </w:r>
          </w:p>
        </w:tc>
        <w:tc>
          <w:tcPr>
            <w:tcW w:w="0" w:type="auto"/>
          </w:tcPr>
          <w:p w14:paraId="61C4B0F3" w14:textId="77777777" w:rsidR="004A517B" w:rsidRPr="00F32E69" w:rsidRDefault="00B85F96">
            <w:pPr>
              <w:pStyle w:val="Compact"/>
              <w:jc w:val="right"/>
            </w:pPr>
            <w:r w:rsidRPr="00F32E69">
              <w:t>p-value</w:t>
            </w:r>
          </w:p>
        </w:tc>
      </w:tr>
      <w:tr w:rsidR="00F32E69" w:rsidRPr="00F32E69" w14:paraId="696E6EB2" w14:textId="77777777">
        <w:tc>
          <w:tcPr>
            <w:tcW w:w="0" w:type="auto"/>
          </w:tcPr>
          <w:p w14:paraId="6659414B" w14:textId="77777777" w:rsidR="004A517B" w:rsidRPr="00F32E69" w:rsidRDefault="00B85F96">
            <w:pPr>
              <w:pStyle w:val="Compact"/>
            </w:pPr>
            <w:r w:rsidRPr="00F32E69">
              <w:t>(Intercept)</w:t>
            </w:r>
          </w:p>
        </w:tc>
        <w:tc>
          <w:tcPr>
            <w:tcW w:w="0" w:type="auto"/>
          </w:tcPr>
          <w:p w14:paraId="00F76F3C" w14:textId="77777777" w:rsidR="004A517B" w:rsidRPr="00F32E69" w:rsidRDefault="00B85F96">
            <w:pPr>
              <w:pStyle w:val="Compact"/>
              <w:jc w:val="right"/>
            </w:pPr>
            <w:r w:rsidRPr="00F32E69">
              <w:t>4.6742</w:t>
            </w:r>
          </w:p>
        </w:tc>
        <w:tc>
          <w:tcPr>
            <w:tcW w:w="0" w:type="auto"/>
          </w:tcPr>
          <w:p w14:paraId="565F30A1" w14:textId="77777777" w:rsidR="004A517B" w:rsidRPr="00F32E69" w:rsidRDefault="00B85F96">
            <w:pPr>
              <w:pStyle w:val="Compact"/>
              <w:jc w:val="right"/>
            </w:pPr>
            <w:r w:rsidRPr="00F32E69">
              <w:t>0.3207</w:t>
            </w:r>
          </w:p>
        </w:tc>
        <w:tc>
          <w:tcPr>
            <w:tcW w:w="0" w:type="auto"/>
          </w:tcPr>
          <w:p w14:paraId="1F2306B5" w14:textId="77777777" w:rsidR="004A517B" w:rsidRPr="00F32E69" w:rsidRDefault="00B85F96">
            <w:pPr>
              <w:pStyle w:val="Compact"/>
              <w:jc w:val="right"/>
            </w:pPr>
            <w:r w:rsidRPr="00F32E69">
              <w:t>14.5762</w:t>
            </w:r>
          </w:p>
        </w:tc>
        <w:tc>
          <w:tcPr>
            <w:tcW w:w="0" w:type="auto"/>
          </w:tcPr>
          <w:p w14:paraId="2BF10366" w14:textId="77777777" w:rsidR="004A517B" w:rsidRPr="00F32E69" w:rsidRDefault="00B85F96">
            <w:pPr>
              <w:pStyle w:val="Compact"/>
              <w:jc w:val="right"/>
            </w:pPr>
            <w:r w:rsidRPr="00F32E69">
              <w:t>0.0000</w:t>
            </w:r>
          </w:p>
        </w:tc>
      </w:tr>
      <w:tr w:rsidR="00F32E69" w:rsidRPr="00F32E69" w14:paraId="2B0E84A7" w14:textId="77777777">
        <w:tc>
          <w:tcPr>
            <w:tcW w:w="0" w:type="auto"/>
          </w:tcPr>
          <w:p w14:paraId="25B05502" w14:textId="77777777" w:rsidR="004A517B" w:rsidRPr="00F32E69" w:rsidRDefault="00B85F96">
            <w:pPr>
              <w:pStyle w:val="Compact"/>
            </w:pPr>
            <w:r w:rsidRPr="00F32E69">
              <w:t>Log(scale)</w:t>
            </w:r>
          </w:p>
        </w:tc>
        <w:tc>
          <w:tcPr>
            <w:tcW w:w="0" w:type="auto"/>
          </w:tcPr>
          <w:p w14:paraId="2A6C7857" w14:textId="77777777" w:rsidR="004A517B" w:rsidRPr="00F32E69" w:rsidRDefault="00B85F96">
            <w:pPr>
              <w:pStyle w:val="Compact"/>
              <w:jc w:val="right"/>
            </w:pPr>
            <w:r w:rsidRPr="00F32E69">
              <w:t>0.3002</w:t>
            </w:r>
          </w:p>
        </w:tc>
        <w:tc>
          <w:tcPr>
            <w:tcW w:w="0" w:type="auto"/>
          </w:tcPr>
          <w:p w14:paraId="4EE85DAD" w14:textId="77777777" w:rsidR="004A517B" w:rsidRPr="00F32E69" w:rsidRDefault="00B85F96">
            <w:pPr>
              <w:pStyle w:val="Compact"/>
              <w:jc w:val="right"/>
            </w:pPr>
            <w:r w:rsidRPr="00F32E69">
              <w:t>0.1362</w:t>
            </w:r>
          </w:p>
        </w:tc>
        <w:tc>
          <w:tcPr>
            <w:tcW w:w="0" w:type="auto"/>
          </w:tcPr>
          <w:p w14:paraId="1C5FB2D2" w14:textId="77777777" w:rsidR="004A517B" w:rsidRPr="00F32E69" w:rsidRDefault="00B85F96">
            <w:pPr>
              <w:pStyle w:val="Compact"/>
              <w:jc w:val="right"/>
            </w:pPr>
            <w:r w:rsidRPr="00F32E69">
              <w:t>2.2052</w:t>
            </w:r>
          </w:p>
        </w:tc>
        <w:tc>
          <w:tcPr>
            <w:tcW w:w="0" w:type="auto"/>
          </w:tcPr>
          <w:p w14:paraId="44F6883E" w14:textId="77777777" w:rsidR="004A517B" w:rsidRPr="00F32E69" w:rsidRDefault="00B85F96">
            <w:pPr>
              <w:pStyle w:val="Compact"/>
              <w:jc w:val="right"/>
            </w:pPr>
            <w:r w:rsidRPr="00F32E69">
              <w:t>0.0274</w:t>
            </w:r>
          </w:p>
        </w:tc>
      </w:tr>
    </w:tbl>
    <w:bookmarkEnd w:id="21"/>
    <w:p w14:paraId="6DF2F89F" w14:textId="77777777" w:rsidR="004A517B" w:rsidRPr="00F32E69" w:rsidRDefault="00B85F96">
      <w:pPr>
        <w:pStyle w:val="BodyText"/>
      </w:pPr>
      <w:r w:rsidRPr="00F32E69">
        <w:rPr>
          <w:i/>
          <w:iCs/>
        </w:rPr>
        <w:t>Model diagnostics: Log-likelihood = -228.21; AIC = 460.42; BIC = 466.47</w:t>
      </w:r>
    </w:p>
    <w:p w14:paraId="60061E4C" w14:textId="77777777" w:rsidR="004A517B" w:rsidRPr="00F32E69" w:rsidRDefault="00B85F96">
      <w:r w:rsidRPr="00F32E69">
        <w:br w:type="page"/>
      </w:r>
    </w:p>
    <w:p w14:paraId="5CD2687D" w14:textId="77777777" w:rsidR="004A517B" w:rsidRPr="00F32E69" w:rsidRDefault="00B85F96">
      <w:pPr>
        <w:pStyle w:val="Heading4"/>
        <w:rPr>
          <w:color w:val="auto"/>
        </w:rPr>
      </w:pPr>
      <w:bookmarkStart w:id="22" w:name="gaussian"/>
      <w:bookmarkEnd w:id="19"/>
      <w:r w:rsidRPr="00F32E69">
        <w:rPr>
          <w:color w:val="auto"/>
        </w:rPr>
        <w:lastRenderedPageBreak/>
        <w:t>Gaussian</w:t>
      </w:r>
    </w:p>
    <w:p w14:paraId="2AEDAB2E" w14:textId="4C54321D" w:rsidR="007401B1" w:rsidRPr="00F32E69" w:rsidRDefault="007401B1" w:rsidP="00867597">
      <w:pPr>
        <w:pStyle w:val="BodyText"/>
        <w:rPr>
          <w:b/>
          <w:iCs/>
        </w:rPr>
      </w:pPr>
      <w:r w:rsidRPr="00F32E69">
        <w:rPr>
          <w:b/>
          <w:bCs/>
          <w:i/>
          <w:iCs/>
        </w:rPr>
        <w:t xml:space="preserve">Cohort 1 Figure 6: Kaplan-Meier plot with Gaussian fit of overall survival </w:t>
      </w:r>
      <w:r w:rsidRPr="00F32E69">
        <w:rPr>
          <w:rFonts w:ascii="Cambria" w:eastAsia="Cambria" w:hAnsi="Cambria" w:cs="Cambria"/>
          <w:b/>
          <w:bCs/>
          <w:i/>
          <w:iCs/>
        </w:rPr>
        <w:t xml:space="preserve">amongst patients who have received </w:t>
      </w:r>
      <w:r w:rsidRPr="00F32E69">
        <w:rPr>
          <w:b/>
          <w:bCs/>
          <w:i/>
          <w:iCs/>
        </w:rPr>
        <w:t>tisagenlecleucel</w:t>
      </w:r>
    </w:p>
    <w:tbl>
      <w:tblPr>
        <w:tblStyle w:val="Table"/>
        <w:tblW w:w="5000" w:type="pct"/>
        <w:tblLook w:val="0000" w:firstRow="0" w:lastRow="0" w:firstColumn="0" w:lastColumn="0" w:noHBand="0" w:noVBand="0"/>
      </w:tblPr>
      <w:tblGrid>
        <w:gridCol w:w="9360"/>
      </w:tblGrid>
      <w:tr w:rsidR="00F32E69" w:rsidRPr="00F32E69" w14:paraId="44B48C6C" w14:textId="77777777">
        <w:tc>
          <w:tcPr>
            <w:tcW w:w="0" w:type="auto"/>
          </w:tcPr>
          <w:p w14:paraId="44EAFD9C" w14:textId="77777777" w:rsidR="004A517B" w:rsidRPr="00F32E69" w:rsidRDefault="00B85F96">
            <w:pPr>
              <w:jc w:val="center"/>
            </w:pPr>
            <w:bookmarkStart w:id="23" w:name="fig-km-gs"/>
            <w:r w:rsidRPr="00F32E69">
              <w:rPr>
                <w:noProof/>
              </w:rPr>
              <w:drawing>
                <wp:inline distT="0" distB="0" distL="0" distR="0" wp14:anchorId="651A5408" wp14:editId="5783D861">
                  <wp:extent cx="4620126" cy="3696101"/>
                  <wp:effectExtent l="0" t="0" r="0" b="0"/>
                  <wp:docPr id="57" name="Picture" descr="A Kaplan-Meier plot showing overall survival over time for individuals who have received tisagenlecleucel, with an overlaid Gaussian model fit. "/>
                  <wp:cNvGraphicFramePr/>
                  <a:graphic xmlns:a="http://schemas.openxmlformats.org/drawingml/2006/main">
                    <a:graphicData uri="http://schemas.openxmlformats.org/drawingml/2006/picture">
                      <pic:pic xmlns:pic="http://schemas.openxmlformats.org/drawingml/2006/picture">
                        <pic:nvPicPr>
                          <pic:cNvPr id="57" name="Picture" descr="A Kaplan-Meier plot showing overall survival over time for individuals who have received tisagenlecleucel, with an overlaid Gaussian model fit. "/>
                          <pic:cNvPicPr>
                            <a:picLocks noChangeAspect="1" noChangeArrowheads="1"/>
                          </pic:cNvPicPr>
                        </pic:nvPicPr>
                        <pic:blipFill>
                          <a:blip r:embed="rId16"/>
                          <a:stretch>
                            <a:fillRect/>
                          </a:stretch>
                        </pic:blipFill>
                        <pic:spPr bwMode="auto">
                          <a:xfrm>
                            <a:off x="0" y="0"/>
                            <a:ext cx="4620126" cy="3696101"/>
                          </a:xfrm>
                          <a:prstGeom prst="rect">
                            <a:avLst/>
                          </a:prstGeom>
                          <a:noFill/>
                          <a:ln w="9525">
                            <a:noFill/>
                            <a:headEnd/>
                            <a:tailEnd/>
                          </a:ln>
                        </pic:spPr>
                      </pic:pic>
                    </a:graphicData>
                  </a:graphic>
                </wp:inline>
              </w:drawing>
            </w:r>
          </w:p>
          <w:p w14:paraId="4EF1D402" w14:textId="181DA39F" w:rsidR="004A517B" w:rsidRPr="00F32E69" w:rsidRDefault="004A517B">
            <w:pPr>
              <w:pStyle w:val="ImageCaption"/>
              <w:spacing w:before="200"/>
            </w:pPr>
          </w:p>
        </w:tc>
        <w:bookmarkEnd w:id="23"/>
      </w:tr>
    </w:tbl>
    <w:p w14:paraId="15AA318D" w14:textId="77777777" w:rsidR="004A517B" w:rsidRPr="00F32E69" w:rsidRDefault="00B85F96">
      <w:pPr>
        <w:pStyle w:val="BodyText"/>
      </w:pPr>
      <w:r w:rsidRPr="00F32E69">
        <w:t> </w:t>
      </w:r>
    </w:p>
    <w:p w14:paraId="251A4E3F" w14:textId="1C83124B" w:rsidR="004A517B" w:rsidRPr="00F32E69" w:rsidRDefault="007401B1">
      <w:pPr>
        <w:pStyle w:val="TableCaption"/>
      </w:pPr>
      <w:bookmarkStart w:id="24" w:name="tbl-km-gs"/>
      <w:r w:rsidRPr="00F32E69">
        <w:t xml:space="preserve">Cohort 1 </w:t>
      </w:r>
      <w:r w:rsidR="00B85F96" w:rsidRPr="00F32E69">
        <w:t>Table 6: Parameter estimates for Gaussian survival model</w:t>
      </w:r>
    </w:p>
    <w:tbl>
      <w:tblPr>
        <w:tblStyle w:val="Table"/>
        <w:tblW w:w="0" w:type="auto"/>
        <w:tblLook w:val="0020" w:firstRow="1" w:lastRow="0" w:firstColumn="0" w:lastColumn="0" w:noHBand="0" w:noVBand="0"/>
        <w:tblCaption w:val="Table 6: Parameter estimates for Gaussian survival model"/>
      </w:tblPr>
      <w:tblGrid>
        <w:gridCol w:w="1347"/>
        <w:gridCol w:w="1121"/>
        <w:gridCol w:w="1215"/>
        <w:gridCol w:w="1063"/>
        <w:gridCol w:w="983"/>
      </w:tblGrid>
      <w:tr w:rsidR="00F32E69" w:rsidRPr="00F32E69" w14:paraId="17F55DAE" w14:textId="77777777" w:rsidTr="004A517B">
        <w:trPr>
          <w:cnfStyle w:val="100000000000" w:firstRow="1" w:lastRow="0" w:firstColumn="0" w:lastColumn="0" w:oddVBand="0" w:evenVBand="0" w:oddHBand="0" w:evenHBand="0" w:firstRowFirstColumn="0" w:firstRowLastColumn="0" w:lastRowFirstColumn="0" w:lastRowLastColumn="0"/>
          <w:tblHeader/>
        </w:trPr>
        <w:tc>
          <w:tcPr>
            <w:tcW w:w="0" w:type="auto"/>
          </w:tcPr>
          <w:p w14:paraId="6DEC3708" w14:textId="77777777" w:rsidR="004A517B" w:rsidRPr="00F32E69" w:rsidRDefault="00B85F96">
            <w:pPr>
              <w:pStyle w:val="Compact"/>
            </w:pPr>
            <w:r w:rsidRPr="00F32E69">
              <w:t>Variable</w:t>
            </w:r>
          </w:p>
        </w:tc>
        <w:tc>
          <w:tcPr>
            <w:tcW w:w="0" w:type="auto"/>
          </w:tcPr>
          <w:p w14:paraId="4960EEBF" w14:textId="77777777" w:rsidR="004A517B" w:rsidRPr="00F32E69" w:rsidRDefault="00B85F96">
            <w:pPr>
              <w:pStyle w:val="Compact"/>
              <w:jc w:val="right"/>
            </w:pPr>
            <w:r w:rsidRPr="00F32E69">
              <w:t>Estimate</w:t>
            </w:r>
          </w:p>
        </w:tc>
        <w:tc>
          <w:tcPr>
            <w:tcW w:w="0" w:type="auto"/>
          </w:tcPr>
          <w:p w14:paraId="2230894D" w14:textId="77777777" w:rsidR="004A517B" w:rsidRPr="00F32E69" w:rsidRDefault="00B85F96">
            <w:pPr>
              <w:pStyle w:val="Compact"/>
              <w:jc w:val="right"/>
            </w:pPr>
            <w:r w:rsidRPr="00F32E69">
              <w:t>Std. Error</w:t>
            </w:r>
          </w:p>
        </w:tc>
        <w:tc>
          <w:tcPr>
            <w:tcW w:w="0" w:type="auto"/>
          </w:tcPr>
          <w:p w14:paraId="34A2D479" w14:textId="77777777" w:rsidR="004A517B" w:rsidRPr="00F32E69" w:rsidRDefault="00B85F96">
            <w:pPr>
              <w:pStyle w:val="Compact"/>
              <w:jc w:val="right"/>
            </w:pPr>
            <w:r w:rsidRPr="00F32E69">
              <w:t>z</w:t>
            </w:r>
          </w:p>
        </w:tc>
        <w:tc>
          <w:tcPr>
            <w:tcW w:w="0" w:type="auto"/>
          </w:tcPr>
          <w:p w14:paraId="155968F8" w14:textId="77777777" w:rsidR="004A517B" w:rsidRPr="00F32E69" w:rsidRDefault="00B85F96">
            <w:pPr>
              <w:pStyle w:val="Compact"/>
              <w:jc w:val="right"/>
            </w:pPr>
            <w:r w:rsidRPr="00F32E69">
              <w:t>p-value</w:t>
            </w:r>
          </w:p>
        </w:tc>
      </w:tr>
      <w:tr w:rsidR="00F32E69" w:rsidRPr="00F32E69" w14:paraId="3926B796" w14:textId="77777777">
        <w:tc>
          <w:tcPr>
            <w:tcW w:w="0" w:type="auto"/>
          </w:tcPr>
          <w:p w14:paraId="6AF84E1D" w14:textId="77777777" w:rsidR="004A517B" w:rsidRPr="00F32E69" w:rsidRDefault="00B85F96">
            <w:pPr>
              <w:pStyle w:val="Compact"/>
            </w:pPr>
            <w:r w:rsidRPr="00F32E69">
              <w:t>(Intercept)</w:t>
            </w:r>
          </w:p>
        </w:tc>
        <w:tc>
          <w:tcPr>
            <w:tcW w:w="0" w:type="auto"/>
          </w:tcPr>
          <w:p w14:paraId="1097C3AA" w14:textId="77777777" w:rsidR="004A517B" w:rsidRPr="00F32E69" w:rsidRDefault="00B85F96">
            <w:pPr>
              <w:pStyle w:val="Compact"/>
              <w:jc w:val="right"/>
            </w:pPr>
            <w:r w:rsidRPr="00F32E69">
              <w:t>59.0502</w:t>
            </w:r>
          </w:p>
        </w:tc>
        <w:tc>
          <w:tcPr>
            <w:tcW w:w="0" w:type="auto"/>
          </w:tcPr>
          <w:p w14:paraId="7066A65F" w14:textId="77777777" w:rsidR="004A517B" w:rsidRPr="00F32E69" w:rsidRDefault="00B85F96">
            <w:pPr>
              <w:pStyle w:val="Compact"/>
              <w:jc w:val="right"/>
            </w:pPr>
            <w:r w:rsidRPr="00F32E69">
              <w:t>5.7576</w:t>
            </w:r>
          </w:p>
        </w:tc>
        <w:tc>
          <w:tcPr>
            <w:tcW w:w="0" w:type="auto"/>
          </w:tcPr>
          <w:p w14:paraId="3D3D9BF9" w14:textId="77777777" w:rsidR="004A517B" w:rsidRPr="00F32E69" w:rsidRDefault="00B85F96">
            <w:pPr>
              <w:pStyle w:val="Compact"/>
              <w:jc w:val="right"/>
            </w:pPr>
            <w:r w:rsidRPr="00F32E69">
              <w:t>10.2561</w:t>
            </w:r>
          </w:p>
        </w:tc>
        <w:tc>
          <w:tcPr>
            <w:tcW w:w="0" w:type="auto"/>
          </w:tcPr>
          <w:p w14:paraId="33113584" w14:textId="77777777" w:rsidR="004A517B" w:rsidRPr="00F32E69" w:rsidRDefault="00B85F96">
            <w:pPr>
              <w:pStyle w:val="Compact"/>
              <w:jc w:val="right"/>
            </w:pPr>
            <w:r w:rsidRPr="00F32E69">
              <w:t>0</w:t>
            </w:r>
          </w:p>
        </w:tc>
      </w:tr>
      <w:tr w:rsidR="00F32E69" w:rsidRPr="00F32E69" w14:paraId="4A2009D0" w14:textId="77777777">
        <w:tc>
          <w:tcPr>
            <w:tcW w:w="0" w:type="auto"/>
          </w:tcPr>
          <w:p w14:paraId="6025ED43" w14:textId="77777777" w:rsidR="004A517B" w:rsidRPr="00F32E69" w:rsidRDefault="00B85F96">
            <w:pPr>
              <w:pStyle w:val="Compact"/>
            </w:pPr>
            <w:r w:rsidRPr="00F32E69">
              <w:t>Log(scale)</w:t>
            </w:r>
          </w:p>
        </w:tc>
        <w:tc>
          <w:tcPr>
            <w:tcW w:w="0" w:type="auto"/>
          </w:tcPr>
          <w:p w14:paraId="3C9BE06D" w14:textId="77777777" w:rsidR="004A517B" w:rsidRPr="00F32E69" w:rsidRDefault="00B85F96">
            <w:pPr>
              <w:pStyle w:val="Compact"/>
              <w:jc w:val="right"/>
            </w:pPr>
            <w:r w:rsidRPr="00F32E69">
              <w:t>3.6752</w:t>
            </w:r>
          </w:p>
        </w:tc>
        <w:tc>
          <w:tcPr>
            <w:tcW w:w="0" w:type="auto"/>
          </w:tcPr>
          <w:p w14:paraId="0D55555C" w14:textId="77777777" w:rsidR="004A517B" w:rsidRPr="00F32E69" w:rsidRDefault="00B85F96">
            <w:pPr>
              <w:pStyle w:val="Compact"/>
              <w:jc w:val="right"/>
            </w:pPr>
            <w:r w:rsidRPr="00F32E69">
              <w:t>0.1224</w:t>
            </w:r>
          </w:p>
        </w:tc>
        <w:tc>
          <w:tcPr>
            <w:tcW w:w="0" w:type="auto"/>
          </w:tcPr>
          <w:p w14:paraId="680BDED8" w14:textId="77777777" w:rsidR="004A517B" w:rsidRPr="00F32E69" w:rsidRDefault="00B85F96">
            <w:pPr>
              <w:pStyle w:val="Compact"/>
              <w:jc w:val="right"/>
            </w:pPr>
            <w:r w:rsidRPr="00F32E69">
              <w:t>30.0162</w:t>
            </w:r>
          </w:p>
        </w:tc>
        <w:tc>
          <w:tcPr>
            <w:tcW w:w="0" w:type="auto"/>
          </w:tcPr>
          <w:p w14:paraId="5531F93F" w14:textId="77777777" w:rsidR="004A517B" w:rsidRPr="00F32E69" w:rsidRDefault="00B85F96">
            <w:pPr>
              <w:pStyle w:val="Compact"/>
              <w:jc w:val="right"/>
            </w:pPr>
            <w:r w:rsidRPr="00F32E69">
              <w:t>0</w:t>
            </w:r>
          </w:p>
        </w:tc>
      </w:tr>
    </w:tbl>
    <w:bookmarkEnd w:id="24"/>
    <w:p w14:paraId="6DF015AA" w14:textId="77777777" w:rsidR="004A517B" w:rsidRPr="00F32E69" w:rsidRDefault="00B85F96">
      <w:pPr>
        <w:pStyle w:val="BodyText"/>
      </w:pPr>
      <w:r w:rsidRPr="00F32E69">
        <w:rPr>
          <w:i/>
          <w:iCs/>
        </w:rPr>
        <w:t>Model diagnostics: Log-likelihood = -262.63; AIC = 529.26; BIC = 535.3</w:t>
      </w:r>
    </w:p>
    <w:p w14:paraId="4B94D5A5" w14:textId="77777777" w:rsidR="004A517B" w:rsidRPr="00F32E69" w:rsidRDefault="00B85F96">
      <w:r w:rsidRPr="00F32E69">
        <w:br w:type="page"/>
      </w:r>
    </w:p>
    <w:p w14:paraId="6EF4E4B9" w14:textId="77777777" w:rsidR="004A517B" w:rsidRPr="00F32E69" w:rsidRDefault="00B85F96">
      <w:pPr>
        <w:pStyle w:val="Heading4"/>
        <w:rPr>
          <w:color w:val="auto"/>
        </w:rPr>
      </w:pPr>
      <w:bookmarkStart w:id="25" w:name="gamma"/>
      <w:bookmarkEnd w:id="22"/>
      <w:r w:rsidRPr="00F32E69">
        <w:rPr>
          <w:color w:val="auto"/>
        </w:rPr>
        <w:lastRenderedPageBreak/>
        <w:t>Gamma</w:t>
      </w:r>
    </w:p>
    <w:p w14:paraId="673A3A17" w14:textId="3CDE6C22" w:rsidR="007401B1" w:rsidRPr="00F32E69" w:rsidRDefault="007401B1" w:rsidP="00867597">
      <w:pPr>
        <w:pStyle w:val="BodyText"/>
        <w:rPr>
          <w:b/>
          <w:iCs/>
        </w:rPr>
      </w:pPr>
      <w:r w:rsidRPr="00F32E69">
        <w:rPr>
          <w:b/>
          <w:bCs/>
          <w:i/>
          <w:iCs/>
        </w:rPr>
        <w:t xml:space="preserve">Cohort 1 Figure 7: Kaplan-Meier plot with Gamma fit of overall survival </w:t>
      </w:r>
      <w:r w:rsidRPr="00F32E69">
        <w:rPr>
          <w:rFonts w:ascii="Cambria" w:eastAsia="Cambria" w:hAnsi="Cambria" w:cs="Cambria"/>
          <w:b/>
          <w:bCs/>
          <w:i/>
          <w:iCs/>
        </w:rPr>
        <w:t xml:space="preserve">amongst patients who have received </w:t>
      </w:r>
      <w:r w:rsidRPr="00F32E69">
        <w:rPr>
          <w:b/>
          <w:bCs/>
          <w:i/>
          <w:iCs/>
        </w:rPr>
        <w:t>tisagenlecleucel</w:t>
      </w:r>
    </w:p>
    <w:tbl>
      <w:tblPr>
        <w:tblStyle w:val="Table"/>
        <w:tblW w:w="5000" w:type="pct"/>
        <w:tblLook w:val="0000" w:firstRow="0" w:lastRow="0" w:firstColumn="0" w:lastColumn="0" w:noHBand="0" w:noVBand="0"/>
      </w:tblPr>
      <w:tblGrid>
        <w:gridCol w:w="9360"/>
      </w:tblGrid>
      <w:tr w:rsidR="00F32E69" w:rsidRPr="00F32E69" w14:paraId="6D29090D" w14:textId="77777777">
        <w:tc>
          <w:tcPr>
            <w:tcW w:w="0" w:type="auto"/>
          </w:tcPr>
          <w:p w14:paraId="3DEEC669" w14:textId="77777777" w:rsidR="004A517B" w:rsidRPr="00F32E69" w:rsidRDefault="00B85F96">
            <w:pPr>
              <w:jc w:val="center"/>
            </w:pPr>
            <w:bookmarkStart w:id="26" w:name="fig-km-ga"/>
            <w:r w:rsidRPr="00F32E69">
              <w:rPr>
                <w:noProof/>
              </w:rPr>
              <w:drawing>
                <wp:inline distT="0" distB="0" distL="0" distR="0" wp14:anchorId="6E2103FB" wp14:editId="410D488A">
                  <wp:extent cx="4620126" cy="3696101"/>
                  <wp:effectExtent l="0" t="0" r="0" b="0"/>
                  <wp:docPr id="63" name="Picture" descr="A Kaplan-Meier plot showing overall survival over time for individuals who have received tisagenlecleucel, with an overlaid Gamma model fit. "/>
                  <wp:cNvGraphicFramePr/>
                  <a:graphic xmlns:a="http://schemas.openxmlformats.org/drawingml/2006/main">
                    <a:graphicData uri="http://schemas.openxmlformats.org/drawingml/2006/picture">
                      <pic:pic xmlns:pic="http://schemas.openxmlformats.org/drawingml/2006/picture">
                        <pic:nvPicPr>
                          <pic:cNvPr id="63" name="Picture" descr="A Kaplan-Meier plot showing overall survival over time for individuals who have received tisagenlecleucel, with an overlaid Gamma model fit. "/>
                          <pic:cNvPicPr>
                            <a:picLocks noChangeAspect="1" noChangeArrowheads="1"/>
                          </pic:cNvPicPr>
                        </pic:nvPicPr>
                        <pic:blipFill>
                          <a:blip r:embed="rId17"/>
                          <a:stretch>
                            <a:fillRect/>
                          </a:stretch>
                        </pic:blipFill>
                        <pic:spPr bwMode="auto">
                          <a:xfrm>
                            <a:off x="0" y="0"/>
                            <a:ext cx="4620126" cy="3696101"/>
                          </a:xfrm>
                          <a:prstGeom prst="rect">
                            <a:avLst/>
                          </a:prstGeom>
                          <a:noFill/>
                          <a:ln w="9525">
                            <a:noFill/>
                            <a:headEnd/>
                            <a:tailEnd/>
                          </a:ln>
                        </pic:spPr>
                      </pic:pic>
                    </a:graphicData>
                  </a:graphic>
                </wp:inline>
              </w:drawing>
            </w:r>
          </w:p>
          <w:p w14:paraId="049B01ED" w14:textId="441ADAC9" w:rsidR="004A517B" w:rsidRPr="00F32E69" w:rsidRDefault="004A517B">
            <w:pPr>
              <w:pStyle w:val="ImageCaption"/>
              <w:spacing w:before="200"/>
            </w:pPr>
          </w:p>
        </w:tc>
        <w:bookmarkEnd w:id="26"/>
      </w:tr>
    </w:tbl>
    <w:p w14:paraId="01512BE8" w14:textId="77777777" w:rsidR="004A517B" w:rsidRPr="00F32E69" w:rsidRDefault="00B85F96">
      <w:pPr>
        <w:pStyle w:val="BodyText"/>
      </w:pPr>
      <w:r w:rsidRPr="00F32E69">
        <w:t> </w:t>
      </w:r>
    </w:p>
    <w:p w14:paraId="087E901F" w14:textId="628AEE41" w:rsidR="004A517B" w:rsidRPr="00F32E69" w:rsidRDefault="007401B1">
      <w:pPr>
        <w:pStyle w:val="TableCaption"/>
      </w:pPr>
      <w:bookmarkStart w:id="27" w:name="tbl-km-ga"/>
      <w:r w:rsidRPr="00F32E69">
        <w:t xml:space="preserve">Cohort 1 </w:t>
      </w:r>
      <w:r w:rsidR="00B85F96" w:rsidRPr="00F32E69">
        <w:t>Table 7: Parameter estimates for Gamma survival model</w:t>
      </w:r>
    </w:p>
    <w:tbl>
      <w:tblPr>
        <w:tblStyle w:val="Table"/>
        <w:tblW w:w="0" w:type="auto"/>
        <w:tblLook w:val="0020" w:firstRow="1" w:lastRow="0" w:firstColumn="0" w:lastColumn="0" w:noHBand="0" w:noVBand="0"/>
        <w:tblCaption w:val="Table 7: Parameter estimates for Gamma survival model"/>
      </w:tblPr>
      <w:tblGrid>
        <w:gridCol w:w="1075"/>
        <w:gridCol w:w="1121"/>
        <w:gridCol w:w="930"/>
        <w:gridCol w:w="930"/>
        <w:gridCol w:w="1215"/>
        <w:gridCol w:w="983"/>
      </w:tblGrid>
      <w:tr w:rsidR="00F32E69" w:rsidRPr="00F32E69" w14:paraId="6BEB6930" w14:textId="77777777" w:rsidTr="004A517B">
        <w:trPr>
          <w:cnfStyle w:val="100000000000" w:firstRow="1" w:lastRow="0" w:firstColumn="0" w:lastColumn="0" w:oddVBand="0" w:evenVBand="0" w:oddHBand="0" w:evenHBand="0" w:firstRowFirstColumn="0" w:firstRowLastColumn="0" w:lastRowFirstColumn="0" w:lastRowLastColumn="0"/>
          <w:tblHeader/>
        </w:trPr>
        <w:tc>
          <w:tcPr>
            <w:tcW w:w="0" w:type="auto"/>
          </w:tcPr>
          <w:p w14:paraId="03D0A525" w14:textId="77777777" w:rsidR="004A517B" w:rsidRPr="00F32E69" w:rsidRDefault="00B85F96">
            <w:pPr>
              <w:pStyle w:val="Compact"/>
            </w:pPr>
            <w:r w:rsidRPr="00F32E69">
              <w:t>Variable</w:t>
            </w:r>
          </w:p>
        </w:tc>
        <w:tc>
          <w:tcPr>
            <w:tcW w:w="0" w:type="auto"/>
          </w:tcPr>
          <w:p w14:paraId="21E81AFA" w14:textId="77777777" w:rsidR="004A517B" w:rsidRPr="00F32E69" w:rsidRDefault="00B85F96">
            <w:pPr>
              <w:pStyle w:val="Compact"/>
              <w:jc w:val="right"/>
            </w:pPr>
            <w:r w:rsidRPr="00F32E69">
              <w:t>Estimate</w:t>
            </w:r>
          </w:p>
        </w:tc>
        <w:tc>
          <w:tcPr>
            <w:tcW w:w="0" w:type="auto"/>
          </w:tcPr>
          <w:p w14:paraId="6324A1A6" w14:textId="77777777" w:rsidR="004A517B" w:rsidRPr="00F32E69" w:rsidRDefault="00B85F96">
            <w:pPr>
              <w:pStyle w:val="Compact"/>
              <w:jc w:val="right"/>
            </w:pPr>
            <w:r w:rsidRPr="00F32E69">
              <w:t>L95%</w:t>
            </w:r>
          </w:p>
        </w:tc>
        <w:tc>
          <w:tcPr>
            <w:tcW w:w="0" w:type="auto"/>
          </w:tcPr>
          <w:p w14:paraId="606004F4" w14:textId="77777777" w:rsidR="004A517B" w:rsidRPr="00F32E69" w:rsidRDefault="00B85F96">
            <w:pPr>
              <w:pStyle w:val="Compact"/>
              <w:jc w:val="right"/>
            </w:pPr>
            <w:r w:rsidRPr="00F32E69">
              <w:t>U95%</w:t>
            </w:r>
          </w:p>
        </w:tc>
        <w:tc>
          <w:tcPr>
            <w:tcW w:w="0" w:type="auto"/>
          </w:tcPr>
          <w:p w14:paraId="64132361" w14:textId="77777777" w:rsidR="004A517B" w:rsidRPr="00F32E69" w:rsidRDefault="00B85F96">
            <w:pPr>
              <w:pStyle w:val="Compact"/>
              <w:jc w:val="right"/>
            </w:pPr>
            <w:r w:rsidRPr="00F32E69">
              <w:t>Std. Error</w:t>
            </w:r>
          </w:p>
        </w:tc>
        <w:tc>
          <w:tcPr>
            <w:tcW w:w="0" w:type="auto"/>
          </w:tcPr>
          <w:p w14:paraId="3DEA1230" w14:textId="77777777" w:rsidR="004A517B" w:rsidRPr="00F32E69" w:rsidRDefault="00B85F96">
            <w:pPr>
              <w:pStyle w:val="Compact"/>
              <w:jc w:val="right"/>
            </w:pPr>
            <w:r w:rsidRPr="00F32E69">
              <w:t>p-value</w:t>
            </w:r>
          </w:p>
        </w:tc>
      </w:tr>
      <w:tr w:rsidR="00F32E69" w:rsidRPr="00F32E69" w14:paraId="296F77C4" w14:textId="77777777">
        <w:tc>
          <w:tcPr>
            <w:tcW w:w="0" w:type="auto"/>
          </w:tcPr>
          <w:p w14:paraId="27AA63F1" w14:textId="77777777" w:rsidR="004A517B" w:rsidRPr="00F32E69" w:rsidRDefault="00B85F96">
            <w:pPr>
              <w:pStyle w:val="Compact"/>
            </w:pPr>
            <w:r w:rsidRPr="00F32E69">
              <w:t>shape</w:t>
            </w:r>
          </w:p>
        </w:tc>
        <w:tc>
          <w:tcPr>
            <w:tcW w:w="0" w:type="auto"/>
          </w:tcPr>
          <w:p w14:paraId="540CCA7C" w14:textId="77777777" w:rsidR="004A517B" w:rsidRPr="00F32E69" w:rsidRDefault="00B85F96">
            <w:pPr>
              <w:pStyle w:val="Compact"/>
              <w:jc w:val="right"/>
            </w:pPr>
            <w:r w:rsidRPr="00F32E69">
              <w:t>0.6306</w:t>
            </w:r>
          </w:p>
        </w:tc>
        <w:tc>
          <w:tcPr>
            <w:tcW w:w="0" w:type="auto"/>
          </w:tcPr>
          <w:p w14:paraId="06097B2A" w14:textId="77777777" w:rsidR="004A517B" w:rsidRPr="00F32E69" w:rsidRDefault="00B85F96">
            <w:pPr>
              <w:pStyle w:val="Compact"/>
              <w:jc w:val="right"/>
            </w:pPr>
            <w:r w:rsidRPr="00F32E69">
              <w:t>0.4623</w:t>
            </w:r>
          </w:p>
        </w:tc>
        <w:tc>
          <w:tcPr>
            <w:tcW w:w="0" w:type="auto"/>
          </w:tcPr>
          <w:p w14:paraId="568BB2DE" w14:textId="77777777" w:rsidR="004A517B" w:rsidRPr="00F32E69" w:rsidRDefault="00B85F96">
            <w:pPr>
              <w:pStyle w:val="Compact"/>
              <w:jc w:val="right"/>
            </w:pPr>
            <w:r w:rsidRPr="00F32E69">
              <w:t>0.8602</w:t>
            </w:r>
          </w:p>
        </w:tc>
        <w:tc>
          <w:tcPr>
            <w:tcW w:w="0" w:type="auto"/>
          </w:tcPr>
          <w:p w14:paraId="23CF445F" w14:textId="77777777" w:rsidR="004A517B" w:rsidRPr="00F32E69" w:rsidRDefault="00B85F96">
            <w:pPr>
              <w:pStyle w:val="Compact"/>
              <w:jc w:val="right"/>
            </w:pPr>
            <w:r w:rsidRPr="00F32E69">
              <w:t>0.0999</w:t>
            </w:r>
          </w:p>
        </w:tc>
        <w:tc>
          <w:tcPr>
            <w:tcW w:w="0" w:type="auto"/>
          </w:tcPr>
          <w:p w14:paraId="5397FEA6" w14:textId="77777777" w:rsidR="004A517B" w:rsidRPr="00F32E69" w:rsidRDefault="00B85F96">
            <w:pPr>
              <w:pStyle w:val="Compact"/>
              <w:jc w:val="right"/>
            </w:pPr>
            <w:r w:rsidRPr="00F32E69">
              <w:t>0.0000</w:t>
            </w:r>
          </w:p>
        </w:tc>
      </w:tr>
      <w:tr w:rsidR="00F32E69" w:rsidRPr="00F32E69" w14:paraId="1BAAFEFF" w14:textId="77777777">
        <w:tc>
          <w:tcPr>
            <w:tcW w:w="0" w:type="auto"/>
          </w:tcPr>
          <w:p w14:paraId="1CF67FFA" w14:textId="77777777" w:rsidR="004A517B" w:rsidRPr="00F32E69" w:rsidRDefault="00B85F96">
            <w:pPr>
              <w:pStyle w:val="Compact"/>
            </w:pPr>
            <w:r w:rsidRPr="00F32E69">
              <w:t>rate</w:t>
            </w:r>
          </w:p>
        </w:tc>
        <w:tc>
          <w:tcPr>
            <w:tcW w:w="0" w:type="auto"/>
          </w:tcPr>
          <w:p w14:paraId="4AA619B5" w14:textId="77777777" w:rsidR="004A517B" w:rsidRPr="00F32E69" w:rsidRDefault="00B85F96">
            <w:pPr>
              <w:pStyle w:val="Compact"/>
              <w:jc w:val="right"/>
            </w:pPr>
            <w:r w:rsidRPr="00F32E69">
              <w:t>0.0038</w:t>
            </w:r>
          </w:p>
        </w:tc>
        <w:tc>
          <w:tcPr>
            <w:tcW w:w="0" w:type="auto"/>
          </w:tcPr>
          <w:p w14:paraId="16507503" w14:textId="77777777" w:rsidR="004A517B" w:rsidRPr="00F32E69" w:rsidRDefault="00B85F96">
            <w:pPr>
              <w:pStyle w:val="Compact"/>
              <w:jc w:val="right"/>
            </w:pPr>
            <w:r w:rsidRPr="00F32E69">
              <w:t>0.0015</w:t>
            </w:r>
          </w:p>
        </w:tc>
        <w:tc>
          <w:tcPr>
            <w:tcW w:w="0" w:type="auto"/>
          </w:tcPr>
          <w:p w14:paraId="1A75EB94" w14:textId="77777777" w:rsidR="004A517B" w:rsidRPr="00F32E69" w:rsidRDefault="00B85F96">
            <w:pPr>
              <w:pStyle w:val="Compact"/>
              <w:jc w:val="right"/>
            </w:pPr>
            <w:r w:rsidRPr="00F32E69">
              <w:t>0.0091</w:t>
            </w:r>
          </w:p>
        </w:tc>
        <w:tc>
          <w:tcPr>
            <w:tcW w:w="0" w:type="auto"/>
          </w:tcPr>
          <w:p w14:paraId="40518824" w14:textId="77777777" w:rsidR="004A517B" w:rsidRPr="00F32E69" w:rsidRDefault="00B85F96">
            <w:pPr>
              <w:pStyle w:val="Compact"/>
              <w:jc w:val="right"/>
            </w:pPr>
            <w:r w:rsidRPr="00F32E69">
              <w:t>0.0017</w:t>
            </w:r>
          </w:p>
        </w:tc>
        <w:tc>
          <w:tcPr>
            <w:tcW w:w="0" w:type="auto"/>
          </w:tcPr>
          <w:p w14:paraId="4F1B642B" w14:textId="77777777" w:rsidR="004A517B" w:rsidRPr="00F32E69" w:rsidRDefault="00B85F96">
            <w:pPr>
              <w:pStyle w:val="Compact"/>
              <w:jc w:val="right"/>
            </w:pPr>
            <w:r w:rsidRPr="00F32E69">
              <w:t>0.0268</w:t>
            </w:r>
          </w:p>
        </w:tc>
      </w:tr>
    </w:tbl>
    <w:bookmarkEnd w:id="27"/>
    <w:p w14:paraId="25AD5F2A" w14:textId="77777777" w:rsidR="004A517B" w:rsidRPr="00F32E69" w:rsidRDefault="00B85F96">
      <w:pPr>
        <w:pStyle w:val="BodyText"/>
      </w:pPr>
      <w:r w:rsidRPr="00F32E69">
        <w:rPr>
          <w:i/>
          <w:iCs/>
        </w:rPr>
        <w:t>Model diagnostics: Log-likelihood = -229.47; AIC = 462.93; BIC = 468.98</w:t>
      </w:r>
    </w:p>
    <w:p w14:paraId="3656B9AB" w14:textId="77777777" w:rsidR="004A517B" w:rsidRPr="00F32E69" w:rsidRDefault="00B85F96">
      <w:r w:rsidRPr="00F32E69">
        <w:br w:type="page"/>
      </w:r>
    </w:p>
    <w:p w14:paraId="7FAA9F57" w14:textId="77777777" w:rsidR="004A517B" w:rsidRPr="00F32E69" w:rsidRDefault="00B85F96">
      <w:pPr>
        <w:pStyle w:val="Heading4"/>
        <w:rPr>
          <w:color w:val="auto"/>
        </w:rPr>
      </w:pPr>
      <w:bookmarkStart w:id="28" w:name="generalised-gamma"/>
      <w:bookmarkEnd w:id="25"/>
      <w:r w:rsidRPr="00F32E69">
        <w:rPr>
          <w:color w:val="auto"/>
        </w:rPr>
        <w:lastRenderedPageBreak/>
        <w:t>Generalised Gamma</w:t>
      </w:r>
    </w:p>
    <w:p w14:paraId="539AD8D5" w14:textId="2CD89572" w:rsidR="007401B1" w:rsidRPr="00F32E69" w:rsidRDefault="007401B1" w:rsidP="00867597">
      <w:pPr>
        <w:pStyle w:val="BodyText"/>
        <w:rPr>
          <w:b/>
          <w:iCs/>
        </w:rPr>
      </w:pPr>
      <w:r w:rsidRPr="00F32E69">
        <w:rPr>
          <w:b/>
          <w:bCs/>
          <w:i/>
          <w:iCs/>
        </w:rPr>
        <w:t xml:space="preserve">Cohort 1 Figure 8: Kaplan-Meier plot with Generalised-Gamma fit of overall survival </w:t>
      </w:r>
      <w:r w:rsidRPr="00F32E69">
        <w:rPr>
          <w:rFonts w:ascii="Cambria" w:eastAsia="Cambria" w:hAnsi="Cambria" w:cs="Cambria"/>
          <w:b/>
          <w:bCs/>
          <w:i/>
          <w:iCs/>
        </w:rPr>
        <w:t xml:space="preserve">amongst patients who have received </w:t>
      </w:r>
      <w:r w:rsidRPr="00F32E69">
        <w:rPr>
          <w:b/>
          <w:bCs/>
          <w:i/>
          <w:iCs/>
        </w:rPr>
        <w:t>tisagenlecleucel</w:t>
      </w:r>
    </w:p>
    <w:tbl>
      <w:tblPr>
        <w:tblStyle w:val="Table"/>
        <w:tblW w:w="5000" w:type="pct"/>
        <w:tblLook w:val="0000" w:firstRow="0" w:lastRow="0" w:firstColumn="0" w:lastColumn="0" w:noHBand="0" w:noVBand="0"/>
      </w:tblPr>
      <w:tblGrid>
        <w:gridCol w:w="9360"/>
      </w:tblGrid>
      <w:tr w:rsidR="00F32E69" w:rsidRPr="00F32E69" w14:paraId="13212B6C" w14:textId="77777777">
        <w:tc>
          <w:tcPr>
            <w:tcW w:w="0" w:type="auto"/>
          </w:tcPr>
          <w:p w14:paraId="45FB0818" w14:textId="77777777" w:rsidR="004A517B" w:rsidRPr="00F32E69" w:rsidRDefault="00B85F96">
            <w:pPr>
              <w:jc w:val="center"/>
            </w:pPr>
            <w:bookmarkStart w:id="29" w:name="fig-km-gg"/>
            <w:r w:rsidRPr="00F32E69">
              <w:rPr>
                <w:noProof/>
              </w:rPr>
              <w:drawing>
                <wp:inline distT="0" distB="0" distL="0" distR="0" wp14:anchorId="50026758" wp14:editId="30819757">
                  <wp:extent cx="4620126" cy="3696101"/>
                  <wp:effectExtent l="0" t="0" r="0" b="0"/>
                  <wp:docPr id="69" name="Picture" descr="A Kaplan-Meier plot showing overall survival over time for individuals who have received tisagenlecleucel, with an overlaid generalised-gamma model fit. "/>
                  <wp:cNvGraphicFramePr/>
                  <a:graphic xmlns:a="http://schemas.openxmlformats.org/drawingml/2006/main">
                    <a:graphicData uri="http://schemas.openxmlformats.org/drawingml/2006/picture">
                      <pic:pic xmlns:pic="http://schemas.openxmlformats.org/drawingml/2006/picture">
                        <pic:nvPicPr>
                          <pic:cNvPr id="69" name="Picture" descr="A Kaplan-Meier plot showing overall survival over time for individuals who have received tisagenlecleucel, with an overlaid generalised-gamma model fit. "/>
                          <pic:cNvPicPr>
                            <a:picLocks noChangeAspect="1" noChangeArrowheads="1"/>
                          </pic:cNvPicPr>
                        </pic:nvPicPr>
                        <pic:blipFill>
                          <a:blip r:embed="rId18"/>
                          <a:stretch>
                            <a:fillRect/>
                          </a:stretch>
                        </pic:blipFill>
                        <pic:spPr bwMode="auto">
                          <a:xfrm>
                            <a:off x="0" y="0"/>
                            <a:ext cx="4620126" cy="3696101"/>
                          </a:xfrm>
                          <a:prstGeom prst="rect">
                            <a:avLst/>
                          </a:prstGeom>
                          <a:noFill/>
                          <a:ln w="9525">
                            <a:noFill/>
                            <a:headEnd/>
                            <a:tailEnd/>
                          </a:ln>
                        </pic:spPr>
                      </pic:pic>
                    </a:graphicData>
                  </a:graphic>
                </wp:inline>
              </w:drawing>
            </w:r>
          </w:p>
          <w:p w14:paraId="34EFBE05" w14:textId="55482A8F" w:rsidR="004A517B" w:rsidRPr="00F32E69" w:rsidRDefault="004A517B">
            <w:pPr>
              <w:pStyle w:val="ImageCaption"/>
              <w:spacing w:before="200"/>
            </w:pPr>
          </w:p>
        </w:tc>
        <w:bookmarkEnd w:id="29"/>
      </w:tr>
    </w:tbl>
    <w:p w14:paraId="0DA70637" w14:textId="77777777" w:rsidR="004A517B" w:rsidRPr="00F32E69" w:rsidRDefault="00B85F96">
      <w:pPr>
        <w:pStyle w:val="BodyText"/>
      </w:pPr>
      <w:r w:rsidRPr="00F32E69">
        <w:t> </w:t>
      </w:r>
    </w:p>
    <w:p w14:paraId="1054BF88" w14:textId="3D07DB6E" w:rsidR="004A517B" w:rsidRPr="00F32E69" w:rsidRDefault="007401B1">
      <w:pPr>
        <w:pStyle w:val="TableCaption"/>
      </w:pPr>
      <w:bookmarkStart w:id="30" w:name="tbl-km-gg"/>
      <w:r w:rsidRPr="00F32E69">
        <w:t xml:space="preserve">Cohort 1 </w:t>
      </w:r>
      <w:r w:rsidR="00B85F96" w:rsidRPr="00F32E69">
        <w:t>Table 8: Parameter estimates for Generalised Gamma survival model</w:t>
      </w:r>
    </w:p>
    <w:tbl>
      <w:tblPr>
        <w:tblStyle w:val="Table"/>
        <w:tblW w:w="0" w:type="auto"/>
        <w:tblLook w:val="0020" w:firstRow="1" w:lastRow="0" w:firstColumn="0" w:lastColumn="0" w:noHBand="0" w:noVBand="0"/>
        <w:tblCaption w:val="Table 8: Parameter estimates for Generalised Gamma survival model"/>
      </w:tblPr>
      <w:tblGrid>
        <w:gridCol w:w="1075"/>
        <w:gridCol w:w="1121"/>
        <w:gridCol w:w="1010"/>
        <w:gridCol w:w="930"/>
        <w:gridCol w:w="1215"/>
        <w:gridCol w:w="983"/>
      </w:tblGrid>
      <w:tr w:rsidR="00F32E69" w:rsidRPr="00F32E69" w14:paraId="2CA471EC" w14:textId="77777777" w:rsidTr="004A517B">
        <w:trPr>
          <w:cnfStyle w:val="100000000000" w:firstRow="1" w:lastRow="0" w:firstColumn="0" w:lastColumn="0" w:oddVBand="0" w:evenVBand="0" w:oddHBand="0" w:evenHBand="0" w:firstRowFirstColumn="0" w:firstRowLastColumn="0" w:lastRowFirstColumn="0" w:lastRowLastColumn="0"/>
          <w:tblHeader/>
        </w:trPr>
        <w:tc>
          <w:tcPr>
            <w:tcW w:w="0" w:type="auto"/>
          </w:tcPr>
          <w:p w14:paraId="1D990442" w14:textId="77777777" w:rsidR="004A517B" w:rsidRPr="00F32E69" w:rsidRDefault="00B85F96">
            <w:pPr>
              <w:pStyle w:val="Compact"/>
            </w:pPr>
            <w:r w:rsidRPr="00F32E69">
              <w:t>Variable</w:t>
            </w:r>
          </w:p>
        </w:tc>
        <w:tc>
          <w:tcPr>
            <w:tcW w:w="0" w:type="auto"/>
          </w:tcPr>
          <w:p w14:paraId="13807AE7" w14:textId="77777777" w:rsidR="004A517B" w:rsidRPr="00F32E69" w:rsidRDefault="00B85F96">
            <w:pPr>
              <w:pStyle w:val="Compact"/>
              <w:jc w:val="right"/>
            </w:pPr>
            <w:r w:rsidRPr="00F32E69">
              <w:t>Estimate</w:t>
            </w:r>
          </w:p>
        </w:tc>
        <w:tc>
          <w:tcPr>
            <w:tcW w:w="0" w:type="auto"/>
          </w:tcPr>
          <w:p w14:paraId="3901BFCF" w14:textId="77777777" w:rsidR="004A517B" w:rsidRPr="00F32E69" w:rsidRDefault="00B85F96">
            <w:pPr>
              <w:pStyle w:val="Compact"/>
              <w:jc w:val="right"/>
            </w:pPr>
            <w:r w:rsidRPr="00F32E69">
              <w:t>L95%</w:t>
            </w:r>
          </w:p>
        </w:tc>
        <w:tc>
          <w:tcPr>
            <w:tcW w:w="0" w:type="auto"/>
          </w:tcPr>
          <w:p w14:paraId="368D396F" w14:textId="77777777" w:rsidR="004A517B" w:rsidRPr="00F32E69" w:rsidRDefault="00B85F96">
            <w:pPr>
              <w:pStyle w:val="Compact"/>
              <w:jc w:val="right"/>
            </w:pPr>
            <w:r w:rsidRPr="00F32E69">
              <w:t>U95%</w:t>
            </w:r>
          </w:p>
        </w:tc>
        <w:tc>
          <w:tcPr>
            <w:tcW w:w="0" w:type="auto"/>
          </w:tcPr>
          <w:p w14:paraId="43002F78" w14:textId="77777777" w:rsidR="004A517B" w:rsidRPr="00F32E69" w:rsidRDefault="00B85F96">
            <w:pPr>
              <w:pStyle w:val="Compact"/>
              <w:jc w:val="right"/>
            </w:pPr>
            <w:r w:rsidRPr="00F32E69">
              <w:t>Std. Error</w:t>
            </w:r>
          </w:p>
        </w:tc>
        <w:tc>
          <w:tcPr>
            <w:tcW w:w="0" w:type="auto"/>
          </w:tcPr>
          <w:p w14:paraId="2897318C" w14:textId="77777777" w:rsidR="004A517B" w:rsidRPr="00F32E69" w:rsidRDefault="00B85F96">
            <w:pPr>
              <w:pStyle w:val="Compact"/>
              <w:jc w:val="right"/>
            </w:pPr>
            <w:r w:rsidRPr="00F32E69">
              <w:t>p-value</w:t>
            </w:r>
          </w:p>
        </w:tc>
      </w:tr>
      <w:tr w:rsidR="00F32E69" w:rsidRPr="00F32E69" w14:paraId="69588F67" w14:textId="77777777">
        <w:tc>
          <w:tcPr>
            <w:tcW w:w="0" w:type="auto"/>
          </w:tcPr>
          <w:p w14:paraId="7B5195C5" w14:textId="77777777" w:rsidR="004A517B" w:rsidRPr="00F32E69" w:rsidRDefault="00B85F96">
            <w:pPr>
              <w:pStyle w:val="Compact"/>
            </w:pPr>
            <w:r w:rsidRPr="00F32E69">
              <w:t>mu</w:t>
            </w:r>
          </w:p>
        </w:tc>
        <w:tc>
          <w:tcPr>
            <w:tcW w:w="0" w:type="auto"/>
          </w:tcPr>
          <w:p w14:paraId="54DC71F5" w14:textId="77777777" w:rsidR="004A517B" w:rsidRPr="00F32E69" w:rsidRDefault="00B85F96">
            <w:pPr>
              <w:pStyle w:val="Compact"/>
              <w:jc w:val="right"/>
            </w:pPr>
            <w:r w:rsidRPr="00F32E69">
              <w:t>4.7963</w:t>
            </w:r>
          </w:p>
        </w:tc>
        <w:tc>
          <w:tcPr>
            <w:tcW w:w="0" w:type="auto"/>
          </w:tcPr>
          <w:p w14:paraId="2E8CA23B" w14:textId="77777777" w:rsidR="004A517B" w:rsidRPr="00F32E69" w:rsidRDefault="00B85F96">
            <w:pPr>
              <w:pStyle w:val="Compact"/>
              <w:jc w:val="right"/>
            </w:pPr>
            <w:r w:rsidRPr="00F32E69">
              <w:t>3.7677</w:t>
            </w:r>
          </w:p>
        </w:tc>
        <w:tc>
          <w:tcPr>
            <w:tcW w:w="0" w:type="auto"/>
          </w:tcPr>
          <w:p w14:paraId="4021EB6C" w14:textId="77777777" w:rsidR="004A517B" w:rsidRPr="00F32E69" w:rsidRDefault="00B85F96">
            <w:pPr>
              <w:pStyle w:val="Compact"/>
              <w:jc w:val="right"/>
            </w:pPr>
            <w:r w:rsidRPr="00F32E69">
              <w:t>5.8249</w:t>
            </w:r>
          </w:p>
        </w:tc>
        <w:tc>
          <w:tcPr>
            <w:tcW w:w="0" w:type="auto"/>
          </w:tcPr>
          <w:p w14:paraId="42FC2481" w14:textId="77777777" w:rsidR="004A517B" w:rsidRPr="00F32E69" w:rsidRDefault="00B85F96">
            <w:pPr>
              <w:pStyle w:val="Compact"/>
              <w:jc w:val="right"/>
            </w:pPr>
            <w:r w:rsidRPr="00F32E69">
              <w:t>0.5248</w:t>
            </w:r>
          </w:p>
        </w:tc>
        <w:tc>
          <w:tcPr>
            <w:tcW w:w="0" w:type="auto"/>
          </w:tcPr>
          <w:p w14:paraId="523CF8E2" w14:textId="77777777" w:rsidR="004A517B" w:rsidRPr="00F32E69" w:rsidRDefault="00B85F96">
            <w:pPr>
              <w:pStyle w:val="Compact"/>
              <w:jc w:val="right"/>
            </w:pPr>
            <w:r w:rsidRPr="00F32E69">
              <w:t>0.0000</w:t>
            </w:r>
          </w:p>
        </w:tc>
      </w:tr>
      <w:tr w:rsidR="00F32E69" w:rsidRPr="00F32E69" w14:paraId="43D8BB87" w14:textId="77777777">
        <w:tc>
          <w:tcPr>
            <w:tcW w:w="0" w:type="auto"/>
          </w:tcPr>
          <w:p w14:paraId="77AA798D" w14:textId="77777777" w:rsidR="004A517B" w:rsidRPr="00F32E69" w:rsidRDefault="00B85F96">
            <w:pPr>
              <w:pStyle w:val="Compact"/>
            </w:pPr>
            <w:r w:rsidRPr="00F32E69">
              <w:t>sigma</w:t>
            </w:r>
          </w:p>
        </w:tc>
        <w:tc>
          <w:tcPr>
            <w:tcW w:w="0" w:type="auto"/>
          </w:tcPr>
          <w:p w14:paraId="1169D18B" w14:textId="77777777" w:rsidR="004A517B" w:rsidRPr="00F32E69" w:rsidRDefault="00B85F96">
            <w:pPr>
              <w:pStyle w:val="Compact"/>
              <w:jc w:val="right"/>
            </w:pPr>
            <w:r w:rsidRPr="00F32E69">
              <w:t>2.6851</w:t>
            </w:r>
          </w:p>
        </w:tc>
        <w:tc>
          <w:tcPr>
            <w:tcW w:w="0" w:type="auto"/>
          </w:tcPr>
          <w:p w14:paraId="71770C26" w14:textId="77777777" w:rsidR="004A517B" w:rsidRPr="00F32E69" w:rsidRDefault="00B85F96">
            <w:pPr>
              <w:pStyle w:val="Compact"/>
              <w:jc w:val="right"/>
            </w:pPr>
            <w:r w:rsidRPr="00F32E69">
              <w:t>1.5523</w:t>
            </w:r>
          </w:p>
        </w:tc>
        <w:tc>
          <w:tcPr>
            <w:tcW w:w="0" w:type="auto"/>
          </w:tcPr>
          <w:p w14:paraId="17E8BBD6" w14:textId="77777777" w:rsidR="004A517B" w:rsidRPr="00F32E69" w:rsidRDefault="00B85F96">
            <w:pPr>
              <w:pStyle w:val="Compact"/>
              <w:jc w:val="right"/>
            </w:pPr>
            <w:r w:rsidRPr="00F32E69">
              <w:t>4.6443</w:t>
            </w:r>
          </w:p>
        </w:tc>
        <w:tc>
          <w:tcPr>
            <w:tcW w:w="0" w:type="auto"/>
          </w:tcPr>
          <w:p w14:paraId="1D053DBB" w14:textId="77777777" w:rsidR="004A517B" w:rsidRPr="00F32E69" w:rsidRDefault="00B85F96">
            <w:pPr>
              <w:pStyle w:val="Compact"/>
              <w:jc w:val="right"/>
            </w:pPr>
            <w:r w:rsidRPr="00F32E69">
              <w:t>0.7506</w:t>
            </w:r>
          </w:p>
        </w:tc>
        <w:tc>
          <w:tcPr>
            <w:tcW w:w="0" w:type="auto"/>
          </w:tcPr>
          <w:p w14:paraId="07E0ECB4" w14:textId="77777777" w:rsidR="004A517B" w:rsidRPr="00F32E69" w:rsidRDefault="00B85F96">
            <w:pPr>
              <w:pStyle w:val="Compact"/>
              <w:jc w:val="right"/>
            </w:pPr>
            <w:r w:rsidRPr="00F32E69">
              <w:t>0.0003</w:t>
            </w:r>
          </w:p>
        </w:tc>
      </w:tr>
      <w:tr w:rsidR="00F32E69" w:rsidRPr="00F32E69" w14:paraId="70F7B8E9" w14:textId="77777777">
        <w:tc>
          <w:tcPr>
            <w:tcW w:w="0" w:type="auto"/>
          </w:tcPr>
          <w:p w14:paraId="59C0F43A" w14:textId="77777777" w:rsidR="004A517B" w:rsidRPr="00F32E69" w:rsidRDefault="00B85F96">
            <w:pPr>
              <w:pStyle w:val="Compact"/>
            </w:pPr>
            <w:r w:rsidRPr="00F32E69">
              <w:t>Q</w:t>
            </w:r>
          </w:p>
        </w:tc>
        <w:tc>
          <w:tcPr>
            <w:tcW w:w="0" w:type="auto"/>
          </w:tcPr>
          <w:p w14:paraId="65EA5380" w14:textId="77777777" w:rsidR="004A517B" w:rsidRPr="00F32E69" w:rsidRDefault="00B85F96">
            <w:pPr>
              <w:pStyle w:val="Compact"/>
              <w:jc w:val="right"/>
            </w:pPr>
            <w:r w:rsidRPr="00F32E69">
              <w:t>-0.1754</w:t>
            </w:r>
          </w:p>
        </w:tc>
        <w:tc>
          <w:tcPr>
            <w:tcW w:w="0" w:type="auto"/>
          </w:tcPr>
          <w:p w14:paraId="01B78C6A" w14:textId="77777777" w:rsidR="004A517B" w:rsidRPr="00F32E69" w:rsidRDefault="00B85F96">
            <w:pPr>
              <w:pStyle w:val="Compact"/>
              <w:jc w:val="right"/>
            </w:pPr>
            <w:r w:rsidRPr="00F32E69">
              <w:t>-1.6211</w:t>
            </w:r>
          </w:p>
        </w:tc>
        <w:tc>
          <w:tcPr>
            <w:tcW w:w="0" w:type="auto"/>
          </w:tcPr>
          <w:p w14:paraId="6777DA05" w14:textId="77777777" w:rsidR="004A517B" w:rsidRPr="00F32E69" w:rsidRDefault="00B85F96">
            <w:pPr>
              <w:pStyle w:val="Compact"/>
              <w:jc w:val="right"/>
            </w:pPr>
            <w:r w:rsidRPr="00F32E69">
              <w:t>1.2703</w:t>
            </w:r>
          </w:p>
        </w:tc>
        <w:tc>
          <w:tcPr>
            <w:tcW w:w="0" w:type="auto"/>
          </w:tcPr>
          <w:p w14:paraId="68E0E83A" w14:textId="77777777" w:rsidR="004A517B" w:rsidRPr="00F32E69" w:rsidRDefault="00B85F96">
            <w:pPr>
              <w:pStyle w:val="Compact"/>
              <w:jc w:val="right"/>
            </w:pPr>
            <w:r w:rsidRPr="00F32E69">
              <w:t>0.7376</w:t>
            </w:r>
          </w:p>
        </w:tc>
        <w:tc>
          <w:tcPr>
            <w:tcW w:w="0" w:type="auto"/>
          </w:tcPr>
          <w:p w14:paraId="54C101CC" w14:textId="77777777" w:rsidR="004A517B" w:rsidRPr="00F32E69" w:rsidRDefault="00B85F96">
            <w:pPr>
              <w:pStyle w:val="Compact"/>
              <w:jc w:val="right"/>
            </w:pPr>
            <w:r w:rsidRPr="00F32E69">
              <w:t>0.8120</w:t>
            </w:r>
          </w:p>
        </w:tc>
      </w:tr>
    </w:tbl>
    <w:bookmarkEnd w:id="30"/>
    <w:p w14:paraId="1464EF6A" w14:textId="77777777" w:rsidR="004A517B" w:rsidRPr="00F32E69" w:rsidRDefault="00B85F96">
      <w:pPr>
        <w:pStyle w:val="BodyText"/>
      </w:pPr>
      <w:r w:rsidRPr="00F32E69">
        <w:rPr>
          <w:i/>
          <w:iCs/>
        </w:rPr>
        <w:t>Model diagnostics: Log-likelihood = -227.54; AIC = 461.08; BIC = 470.15</w:t>
      </w:r>
    </w:p>
    <w:p w14:paraId="049F31CB" w14:textId="77777777" w:rsidR="004A517B" w:rsidRPr="00F32E69" w:rsidRDefault="00B85F96">
      <w:r w:rsidRPr="00F32E69">
        <w:br w:type="page"/>
      </w:r>
    </w:p>
    <w:p w14:paraId="76933F95" w14:textId="77777777" w:rsidR="004A517B" w:rsidRPr="00F32E69" w:rsidRDefault="00B85F96">
      <w:pPr>
        <w:pStyle w:val="Heading4"/>
        <w:rPr>
          <w:color w:val="auto"/>
        </w:rPr>
      </w:pPr>
      <w:bookmarkStart w:id="31" w:name="gompertz"/>
      <w:bookmarkEnd w:id="28"/>
      <w:r w:rsidRPr="00F32E69">
        <w:rPr>
          <w:color w:val="auto"/>
        </w:rPr>
        <w:lastRenderedPageBreak/>
        <w:t>Gompertz</w:t>
      </w:r>
    </w:p>
    <w:p w14:paraId="56CA4758" w14:textId="02C38A31" w:rsidR="007401B1" w:rsidRPr="00F32E69" w:rsidRDefault="007401B1" w:rsidP="00867597">
      <w:pPr>
        <w:pStyle w:val="BodyText"/>
        <w:rPr>
          <w:b/>
          <w:iCs/>
        </w:rPr>
      </w:pPr>
      <w:r w:rsidRPr="00F32E69">
        <w:rPr>
          <w:b/>
          <w:bCs/>
          <w:i/>
          <w:iCs/>
        </w:rPr>
        <w:t xml:space="preserve">Cohort 1 Figure 9: Kaplan-Meier plot with Gompertz fit of overall survival </w:t>
      </w:r>
      <w:r w:rsidRPr="00F32E69">
        <w:rPr>
          <w:rFonts w:ascii="Cambria" w:eastAsia="Cambria" w:hAnsi="Cambria" w:cs="Cambria"/>
          <w:b/>
          <w:bCs/>
          <w:i/>
          <w:iCs/>
        </w:rPr>
        <w:t xml:space="preserve">amongst patients who have received </w:t>
      </w:r>
      <w:r w:rsidRPr="00F32E69">
        <w:rPr>
          <w:b/>
          <w:bCs/>
          <w:i/>
          <w:iCs/>
        </w:rPr>
        <w:t>tisagenlecleucel</w:t>
      </w:r>
    </w:p>
    <w:tbl>
      <w:tblPr>
        <w:tblStyle w:val="Table"/>
        <w:tblW w:w="5000" w:type="pct"/>
        <w:tblLook w:val="0000" w:firstRow="0" w:lastRow="0" w:firstColumn="0" w:lastColumn="0" w:noHBand="0" w:noVBand="0"/>
      </w:tblPr>
      <w:tblGrid>
        <w:gridCol w:w="9360"/>
      </w:tblGrid>
      <w:tr w:rsidR="00F32E69" w:rsidRPr="00F32E69" w14:paraId="3FF9BD0B" w14:textId="77777777">
        <w:tc>
          <w:tcPr>
            <w:tcW w:w="0" w:type="auto"/>
          </w:tcPr>
          <w:p w14:paraId="53128261" w14:textId="77777777" w:rsidR="004A517B" w:rsidRPr="00F32E69" w:rsidRDefault="00B85F96">
            <w:pPr>
              <w:jc w:val="center"/>
            </w:pPr>
            <w:bookmarkStart w:id="32" w:name="fig-km-go"/>
            <w:r w:rsidRPr="00F32E69">
              <w:rPr>
                <w:noProof/>
              </w:rPr>
              <w:drawing>
                <wp:inline distT="0" distB="0" distL="0" distR="0" wp14:anchorId="62357B5B" wp14:editId="3E06FE0B">
                  <wp:extent cx="4620126" cy="3696101"/>
                  <wp:effectExtent l="0" t="0" r="0" b="0"/>
                  <wp:docPr id="75" name="Picture" descr="A Kaplan-Meier plot showing overall survival over time for individuals who have received tisagenlecleucel, with an overlaid Gompertz model fit. "/>
                  <wp:cNvGraphicFramePr/>
                  <a:graphic xmlns:a="http://schemas.openxmlformats.org/drawingml/2006/main">
                    <a:graphicData uri="http://schemas.openxmlformats.org/drawingml/2006/picture">
                      <pic:pic xmlns:pic="http://schemas.openxmlformats.org/drawingml/2006/picture">
                        <pic:nvPicPr>
                          <pic:cNvPr id="75" name="Picture" descr="A Kaplan-Meier plot showing overall survival over time for individuals who have received tisagenlecleucel, with an overlaid Gompertz model fit. "/>
                          <pic:cNvPicPr>
                            <a:picLocks noChangeAspect="1" noChangeArrowheads="1"/>
                          </pic:cNvPicPr>
                        </pic:nvPicPr>
                        <pic:blipFill>
                          <a:blip r:embed="rId19"/>
                          <a:stretch>
                            <a:fillRect/>
                          </a:stretch>
                        </pic:blipFill>
                        <pic:spPr bwMode="auto">
                          <a:xfrm>
                            <a:off x="0" y="0"/>
                            <a:ext cx="4620126" cy="3696101"/>
                          </a:xfrm>
                          <a:prstGeom prst="rect">
                            <a:avLst/>
                          </a:prstGeom>
                          <a:noFill/>
                          <a:ln w="9525">
                            <a:noFill/>
                            <a:headEnd/>
                            <a:tailEnd/>
                          </a:ln>
                        </pic:spPr>
                      </pic:pic>
                    </a:graphicData>
                  </a:graphic>
                </wp:inline>
              </w:drawing>
            </w:r>
          </w:p>
          <w:p w14:paraId="0D598D33" w14:textId="4C958C1C" w:rsidR="004A517B" w:rsidRPr="00F32E69" w:rsidRDefault="004A517B">
            <w:pPr>
              <w:pStyle w:val="ImageCaption"/>
              <w:spacing w:before="200"/>
            </w:pPr>
          </w:p>
        </w:tc>
        <w:bookmarkEnd w:id="32"/>
      </w:tr>
    </w:tbl>
    <w:p w14:paraId="46624170" w14:textId="77777777" w:rsidR="004A517B" w:rsidRPr="00F32E69" w:rsidRDefault="00B85F96">
      <w:pPr>
        <w:pStyle w:val="BodyText"/>
      </w:pPr>
      <w:r w:rsidRPr="00F32E69">
        <w:t> </w:t>
      </w:r>
    </w:p>
    <w:p w14:paraId="366931C7" w14:textId="214FB921" w:rsidR="004A517B" w:rsidRPr="00F32E69" w:rsidRDefault="007401B1">
      <w:pPr>
        <w:pStyle w:val="TableCaption"/>
      </w:pPr>
      <w:bookmarkStart w:id="33" w:name="tbl-km-go"/>
      <w:r w:rsidRPr="00F32E69">
        <w:t xml:space="preserve">Cohort 1 </w:t>
      </w:r>
      <w:r w:rsidR="00B85F96" w:rsidRPr="00F32E69">
        <w:t>Table 9: Parameter estimates for Gompertz survival model</w:t>
      </w:r>
    </w:p>
    <w:tbl>
      <w:tblPr>
        <w:tblStyle w:val="Table"/>
        <w:tblW w:w="0" w:type="auto"/>
        <w:tblLook w:val="0020" w:firstRow="1" w:lastRow="0" w:firstColumn="0" w:lastColumn="0" w:noHBand="0" w:noVBand="0"/>
        <w:tblCaption w:val="Table 9: Parameter estimates for Gompertz survival model"/>
      </w:tblPr>
      <w:tblGrid>
        <w:gridCol w:w="1075"/>
        <w:gridCol w:w="1121"/>
        <w:gridCol w:w="1010"/>
        <w:gridCol w:w="1010"/>
        <w:gridCol w:w="1215"/>
        <w:gridCol w:w="983"/>
      </w:tblGrid>
      <w:tr w:rsidR="00F32E69" w:rsidRPr="00F32E69" w14:paraId="5609D255" w14:textId="77777777" w:rsidTr="004A517B">
        <w:trPr>
          <w:cnfStyle w:val="100000000000" w:firstRow="1" w:lastRow="0" w:firstColumn="0" w:lastColumn="0" w:oddVBand="0" w:evenVBand="0" w:oddHBand="0" w:evenHBand="0" w:firstRowFirstColumn="0" w:firstRowLastColumn="0" w:lastRowFirstColumn="0" w:lastRowLastColumn="0"/>
          <w:tblHeader/>
        </w:trPr>
        <w:tc>
          <w:tcPr>
            <w:tcW w:w="0" w:type="auto"/>
          </w:tcPr>
          <w:p w14:paraId="2314556B" w14:textId="77777777" w:rsidR="004A517B" w:rsidRPr="00F32E69" w:rsidRDefault="00B85F96">
            <w:pPr>
              <w:pStyle w:val="Compact"/>
            </w:pPr>
            <w:r w:rsidRPr="00F32E69">
              <w:t>Variable</w:t>
            </w:r>
          </w:p>
        </w:tc>
        <w:tc>
          <w:tcPr>
            <w:tcW w:w="0" w:type="auto"/>
          </w:tcPr>
          <w:p w14:paraId="07EE835C" w14:textId="77777777" w:rsidR="004A517B" w:rsidRPr="00F32E69" w:rsidRDefault="00B85F96">
            <w:pPr>
              <w:pStyle w:val="Compact"/>
              <w:jc w:val="right"/>
            </w:pPr>
            <w:r w:rsidRPr="00F32E69">
              <w:t>Estimate</w:t>
            </w:r>
          </w:p>
        </w:tc>
        <w:tc>
          <w:tcPr>
            <w:tcW w:w="0" w:type="auto"/>
          </w:tcPr>
          <w:p w14:paraId="304C11F8" w14:textId="77777777" w:rsidR="004A517B" w:rsidRPr="00F32E69" w:rsidRDefault="00B85F96">
            <w:pPr>
              <w:pStyle w:val="Compact"/>
              <w:jc w:val="right"/>
            </w:pPr>
            <w:r w:rsidRPr="00F32E69">
              <w:t>L95%</w:t>
            </w:r>
          </w:p>
        </w:tc>
        <w:tc>
          <w:tcPr>
            <w:tcW w:w="0" w:type="auto"/>
          </w:tcPr>
          <w:p w14:paraId="0B2520DB" w14:textId="77777777" w:rsidR="004A517B" w:rsidRPr="00F32E69" w:rsidRDefault="00B85F96">
            <w:pPr>
              <w:pStyle w:val="Compact"/>
              <w:jc w:val="right"/>
            </w:pPr>
            <w:r w:rsidRPr="00F32E69">
              <w:t>U95%</w:t>
            </w:r>
          </w:p>
        </w:tc>
        <w:tc>
          <w:tcPr>
            <w:tcW w:w="0" w:type="auto"/>
          </w:tcPr>
          <w:p w14:paraId="254A4974" w14:textId="77777777" w:rsidR="004A517B" w:rsidRPr="00F32E69" w:rsidRDefault="00B85F96">
            <w:pPr>
              <w:pStyle w:val="Compact"/>
              <w:jc w:val="right"/>
            </w:pPr>
            <w:r w:rsidRPr="00F32E69">
              <w:t>Std. Error</w:t>
            </w:r>
          </w:p>
        </w:tc>
        <w:tc>
          <w:tcPr>
            <w:tcW w:w="0" w:type="auto"/>
          </w:tcPr>
          <w:p w14:paraId="1E1AB0B0" w14:textId="77777777" w:rsidR="004A517B" w:rsidRPr="00F32E69" w:rsidRDefault="00B85F96">
            <w:pPr>
              <w:pStyle w:val="Compact"/>
              <w:jc w:val="right"/>
            </w:pPr>
            <w:r w:rsidRPr="00F32E69">
              <w:t>p-value</w:t>
            </w:r>
          </w:p>
        </w:tc>
      </w:tr>
      <w:tr w:rsidR="00F32E69" w:rsidRPr="00F32E69" w14:paraId="75B896F2" w14:textId="77777777">
        <w:tc>
          <w:tcPr>
            <w:tcW w:w="0" w:type="auto"/>
          </w:tcPr>
          <w:p w14:paraId="267A0B00" w14:textId="77777777" w:rsidR="004A517B" w:rsidRPr="00F32E69" w:rsidRDefault="00B85F96">
            <w:pPr>
              <w:pStyle w:val="Compact"/>
            </w:pPr>
            <w:r w:rsidRPr="00F32E69">
              <w:t>shape</w:t>
            </w:r>
          </w:p>
        </w:tc>
        <w:tc>
          <w:tcPr>
            <w:tcW w:w="0" w:type="auto"/>
          </w:tcPr>
          <w:p w14:paraId="00BC528E" w14:textId="77777777" w:rsidR="004A517B" w:rsidRPr="00F32E69" w:rsidRDefault="00B85F96">
            <w:pPr>
              <w:pStyle w:val="Compact"/>
              <w:jc w:val="right"/>
            </w:pPr>
            <w:r w:rsidRPr="00F32E69">
              <w:t>-0.0488</w:t>
            </w:r>
          </w:p>
        </w:tc>
        <w:tc>
          <w:tcPr>
            <w:tcW w:w="0" w:type="auto"/>
          </w:tcPr>
          <w:p w14:paraId="35789DB9" w14:textId="77777777" w:rsidR="004A517B" w:rsidRPr="00F32E69" w:rsidRDefault="00B85F96">
            <w:pPr>
              <w:pStyle w:val="Compact"/>
              <w:jc w:val="right"/>
            </w:pPr>
            <w:r w:rsidRPr="00F32E69">
              <w:t>-0.0765</w:t>
            </w:r>
          </w:p>
        </w:tc>
        <w:tc>
          <w:tcPr>
            <w:tcW w:w="0" w:type="auto"/>
          </w:tcPr>
          <w:p w14:paraId="6AA7CEDB" w14:textId="77777777" w:rsidR="004A517B" w:rsidRPr="00F32E69" w:rsidRDefault="00B85F96">
            <w:pPr>
              <w:pStyle w:val="Compact"/>
              <w:jc w:val="right"/>
            </w:pPr>
            <w:r w:rsidRPr="00F32E69">
              <w:t>-0.0211</w:t>
            </w:r>
          </w:p>
        </w:tc>
        <w:tc>
          <w:tcPr>
            <w:tcW w:w="0" w:type="auto"/>
          </w:tcPr>
          <w:p w14:paraId="3379723C" w14:textId="77777777" w:rsidR="004A517B" w:rsidRPr="00F32E69" w:rsidRDefault="00B85F96">
            <w:pPr>
              <w:pStyle w:val="Compact"/>
              <w:jc w:val="right"/>
            </w:pPr>
            <w:r w:rsidRPr="00F32E69">
              <w:t>0.0141</w:t>
            </w:r>
          </w:p>
        </w:tc>
        <w:tc>
          <w:tcPr>
            <w:tcW w:w="0" w:type="auto"/>
          </w:tcPr>
          <w:p w14:paraId="4097A35D" w14:textId="77777777" w:rsidR="004A517B" w:rsidRPr="00F32E69" w:rsidRDefault="00B85F96">
            <w:pPr>
              <w:pStyle w:val="Compact"/>
              <w:jc w:val="right"/>
            </w:pPr>
            <w:r w:rsidRPr="00F32E69">
              <w:t>6e-04</w:t>
            </w:r>
          </w:p>
        </w:tc>
      </w:tr>
      <w:tr w:rsidR="00F32E69" w:rsidRPr="00F32E69" w14:paraId="6E37E5B5" w14:textId="77777777">
        <w:tc>
          <w:tcPr>
            <w:tcW w:w="0" w:type="auto"/>
          </w:tcPr>
          <w:p w14:paraId="6434EC7B" w14:textId="77777777" w:rsidR="004A517B" w:rsidRPr="00F32E69" w:rsidRDefault="00B85F96">
            <w:pPr>
              <w:pStyle w:val="Compact"/>
            </w:pPr>
            <w:r w:rsidRPr="00F32E69">
              <w:t>rate</w:t>
            </w:r>
          </w:p>
        </w:tc>
        <w:tc>
          <w:tcPr>
            <w:tcW w:w="0" w:type="auto"/>
          </w:tcPr>
          <w:p w14:paraId="582DA9CD" w14:textId="77777777" w:rsidR="004A517B" w:rsidRPr="00F32E69" w:rsidRDefault="00B85F96">
            <w:pPr>
              <w:pStyle w:val="Compact"/>
              <w:jc w:val="right"/>
            </w:pPr>
            <w:r w:rsidRPr="00F32E69">
              <w:t>0.0220</w:t>
            </w:r>
          </w:p>
        </w:tc>
        <w:tc>
          <w:tcPr>
            <w:tcW w:w="0" w:type="auto"/>
          </w:tcPr>
          <w:p w14:paraId="6C447F2D" w14:textId="77777777" w:rsidR="004A517B" w:rsidRPr="00F32E69" w:rsidRDefault="00B85F96">
            <w:pPr>
              <w:pStyle w:val="Compact"/>
              <w:jc w:val="right"/>
            </w:pPr>
            <w:r w:rsidRPr="00F32E69">
              <w:t>0.0141</w:t>
            </w:r>
          </w:p>
        </w:tc>
        <w:tc>
          <w:tcPr>
            <w:tcW w:w="0" w:type="auto"/>
          </w:tcPr>
          <w:p w14:paraId="54A2D10A" w14:textId="77777777" w:rsidR="004A517B" w:rsidRPr="00F32E69" w:rsidRDefault="00B85F96">
            <w:pPr>
              <w:pStyle w:val="Compact"/>
              <w:jc w:val="right"/>
            </w:pPr>
            <w:r w:rsidRPr="00F32E69">
              <w:t>0.0344</w:t>
            </w:r>
          </w:p>
        </w:tc>
        <w:tc>
          <w:tcPr>
            <w:tcW w:w="0" w:type="auto"/>
          </w:tcPr>
          <w:p w14:paraId="52423375" w14:textId="77777777" w:rsidR="004A517B" w:rsidRPr="00F32E69" w:rsidRDefault="00B85F96">
            <w:pPr>
              <w:pStyle w:val="Compact"/>
              <w:jc w:val="right"/>
            </w:pPr>
            <w:r w:rsidRPr="00F32E69">
              <w:t>0.0050</w:t>
            </w:r>
          </w:p>
        </w:tc>
        <w:tc>
          <w:tcPr>
            <w:tcW w:w="0" w:type="auto"/>
          </w:tcPr>
          <w:p w14:paraId="6362C6E2" w14:textId="77777777" w:rsidR="004A517B" w:rsidRPr="00F32E69" w:rsidRDefault="00B85F96">
            <w:pPr>
              <w:pStyle w:val="Compact"/>
              <w:jc w:val="right"/>
            </w:pPr>
            <w:r w:rsidRPr="00F32E69">
              <w:t>0e+00</w:t>
            </w:r>
          </w:p>
        </w:tc>
      </w:tr>
    </w:tbl>
    <w:bookmarkEnd w:id="33"/>
    <w:p w14:paraId="4A122763" w14:textId="77777777" w:rsidR="004A517B" w:rsidRPr="00F32E69" w:rsidRDefault="00B85F96">
      <w:pPr>
        <w:pStyle w:val="BodyText"/>
        <w:rPr>
          <w:i/>
          <w:iCs/>
        </w:rPr>
      </w:pPr>
      <w:r w:rsidRPr="00F32E69">
        <w:rPr>
          <w:i/>
          <w:iCs/>
        </w:rPr>
        <w:t>Model diagnostics: Log-likelihood = -226.41; AIC = 456.81; BIC = 462.86</w:t>
      </w:r>
      <w:bookmarkEnd w:id="4"/>
      <w:bookmarkEnd w:id="7"/>
      <w:bookmarkEnd w:id="31"/>
    </w:p>
    <w:p w14:paraId="2D964B10" w14:textId="79CA8325" w:rsidR="009B1AE8" w:rsidRPr="00F32E69" w:rsidRDefault="009B1AE8">
      <w:pPr>
        <w:rPr>
          <w:i/>
          <w:iCs/>
        </w:rPr>
      </w:pPr>
      <w:r w:rsidRPr="00F32E69">
        <w:rPr>
          <w:i/>
          <w:iCs/>
        </w:rPr>
        <w:br w:type="page"/>
      </w:r>
    </w:p>
    <w:p w14:paraId="0F6D1A96" w14:textId="77777777" w:rsidR="009B1AE8" w:rsidRPr="00F32E69" w:rsidRDefault="009B1AE8" w:rsidP="009B1AE8">
      <w:pPr>
        <w:pStyle w:val="Title"/>
        <w:rPr>
          <w:color w:val="auto"/>
        </w:rPr>
      </w:pPr>
      <w:r w:rsidRPr="00F32E69">
        <w:rPr>
          <w:color w:val="auto"/>
        </w:rPr>
        <w:lastRenderedPageBreak/>
        <w:t>Age, Gender and Overall Survival for Blinatumomab</w:t>
      </w:r>
    </w:p>
    <w:p w14:paraId="67A1B8C4" w14:textId="77777777" w:rsidR="009B1AE8" w:rsidRPr="00F32E69" w:rsidRDefault="009B1AE8" w:rsidP="009B1AE8">
      <w:pPr>
        <w:pStyle w:val="Heading2"/>
        <w:rPr>
          <w:color w:val="auto"/>
        </w:rPr>
      </w:pPr>
      <w:r w:rsidRPr="00F32E69">
        <w:rPr>
          <w:color w:val="auto"/>
        </w:rPr>
        <w:t>Introduction</w:t>
      </w:r>
    </w:p>
    <w:p w14:paraId="423A33F5" w14:textId="77777777" w:rsidR="009B1AE8" w:rsidRPr="00F32E69" w:rsidRDefault="009B1AE8" w:rsidP="009B1AE8">
      <w:pPr>
        <w:pStyle w:val="FirstParagraph"/>
      </w:pPr>
      <w:r w:rsidRPr="00F32E69">
        <w:t>This report was produced in partnership by the National Disease Registration Service (NDRS) and the National Institute for Health and Care Excellence (NICE). It presents patient demographic characteristics and overall survival among patients who have received a treatment of blinatumomab for refractory or relapsed B-cell acute lymphoblastic leukaemia (B-ALL).</w:t>
      </w:r>
    </w:p>
    <w:p w14:paraId="4DE82867" w14:textId="30321447" w:rsidR="009B1AE8" w:rsidRPr="00F32E69" w:rsidRDefault="009B1AE8" w:rsidP="009B1AE8">
      <w:pPr>
        <w:pStyle w:val="BodyText"/>
      </w:pPr>
      <w:r w:rsidRPr="00F32E69">
        <w:t>Data extracted as part of this project was used to provide demographic and overall survival information for those treated with tisagenlecleucel or blinatumumab for B-ALL, for the purposes of comparing real</w:t>
      </w:r>
      <w:r w:rsidR="002B7964" w:rsidRPr="00F32E69">
        <w:t>-</w:t>
      </w:r>
      <w:r w:rsidRPr="00F32E69">
        <w:t xml:space="preserve">world data to that used in </w:t>
      </w:r>
      <w:r w:rsidR="0000335D" w:rsidRPr="00F32E69">
        <w:t>NICE Technology Appraisal 975</w:t>
      </w:r>
      <w:r w:rsidR="0000335D" w:rsidRPr="00F32E69">
        <w:rPr>
          <w:rStyle w:val="FootnoteReference"/>
        </w:rPr>
        <w:footnoteReference w:id="3"/>
      </w:r>
      <w:r w:rsidRPr="00F32E69">
        <w:t>. Data presented in this report will be combined with data for tisagenlecleucel</w:t>
      </w:r>
      <w:r w:rsidR="0000335D" w:rsidRPr="00F32E69">
        <w:t>, available in cohort 1 above</w:t>
      </w:r>
      <w:r w:rsidR="00372DAC" w:rsidRPr="00F32E69">
        <w:t>.</w:t>
      </w:r>
      <w:r w:rsidRPr="00F32E69">
        <w:t>.</w:t>
      </w:r>
    </w:p>
    <w:p w14:paraId="5E62CE8F" w14:textId="77777777" w:rsidR="009B1AE8" w:rsidRPr="00F32E69" w:rsidRDefault="009B1AE8" w:rsidP="009B1AE8">
      <w:pPr>
        <w:pStyle w:val="Heading2"/>
        <w:rPr>
          <w:color w:val="auto"/>
        </w:rPr>
      </w:pPr>
      <w:r w:rsidRPr="00F32E69">
        <w:rPr>
          <w:color w:val="auto"/>
        </w:rPr>
        <w:t>Method</w:t>
      </w:r>
    </w:p>
    <w:p w14:paraId="0F9B274F" w14:textId="24939C65" w:rsidR="009B1AE8" w:rsidRPr="00F32E69" w:rsidRDefault="009B1AE8" w:rsidP="009B1AE8">
      <w:pPr>
        <w:pStyle w:val="FirstParagraph"/>
      </w:pPr>
      <w:r w:rsidRPr="00F32E69">
        <w:t xml:space="preserve">A snapshot of </w:t>
      </w:r>
      <w:r w:rsidR="00CF074D" w:rsidRPr="00F32E69">
        <w:t xml:space="preserve">SACT data </w:t>
      </w:r>
      <w:r w:rsidRPr="00F32E69">
        <w:t>was taken on 8th June 2025 and made available for analysis on 26th June 2025. SACT data is only considered complete when 90% of trusts have submitted data. As a result, SACT data is considered complete up to 31st October 2024. Patients were traced for their vital status on 5th April 2025.</w:t>
      </w:r>
    </w:p>
    <w:p w14:paraId="4E3FAFA1" w14:textId="436A9D7C" w:rsidR="009B1AE8" w:rsidRPr="00F32E69" w:rsidRDefault="009B1AE8" w:rsidP="009B1AE8">
      <w:pPr>
        <w:pStyle w:val="BodyText"/>
      </w:pPr>
      <w:r w:rsidRPr="00F32E69">
        <w:t>Descriptive statistics of age and gender were computed, as well as overall survival (OS) Kaplan-Meier graphs and parametric fits. Counts of those receiving a stem cell transplant after the start date of the blinatumomab regimen were calculated using linkage to HES. Time</w:t>
      </w:r>
      <w:r w:rsidR="0082127F" w:rsidRPr="00F32E69">
        <w:t>-</w:t>
      </w:r>
      <w:r w:rsidRPr="00F32E69">
        <w:t>on</w:t>
      </w:r>
      <w:r w:rsidR="0082127F" w:rsidRPr="00F32E69">
        <w:t>-</w:t>
      </w:r>
      <w:r w:rsidRPr="00F32E69">
        <w:t>treatment was also derived, defined as the time between the earliest and latest blinatumomab administration date (defined in SACT) plus one day (to remove zero length time</w:t>
      </w:r>
      <w:r w:rsidR="00423AC7" w:rsidRPr="00F32E69">
        <w:t>-</w:t>
      </w:r>
      <w:r w:rsidRPr="00F32E69">
        <w:t>on</w:t>
      </w:r>
      <w:r w:rsidR="00423AC7" w:rsidRPr="00F32E69">
        <w:t>-</w:t>
      </w:r>
      <w:r w:rsidRPr="00F32E69">
        <w:t>treatment).</w:t>
      </w:r>
    </w:p>
    <w:p w14:paraId="7BD46A4B" w14:textId="77777777" w:rsidR="009B1AE8" w:rsidRPr="00F32E69" w:rsidRDefault="009B1AE8" w:rsidP="009B1AE8">
      <w:pPr>
        <w:pStyle w:val="Heading3"/>
        <w:rPr>
          <w:color w:val="auto"/>
        </w:rPr>
      </w:pPr>
      <w:r w:rsidRPr="00F32E69">
        <w:rPr>
          <w:color w:val="auto"/>
        </w:rPr>
        <w:t>Cohort inclusions / exclusions</w:t>
      </w:r>
    </w:p>
    <w:p w14:paraId="1EFEBE8D" w14:textId="11B23BA4" w:rsidR="009B1AE8" w:rsidRPr="00F32E69" w:rsidRDefault="009B1AE8" w:rsidP="009B1AE8">
      <w:pPr>
        <w:pStyle w:val="FirstParagraph"/>
      </w:pPr>
      <w:r w:rsidRPr="00F32E69">
        <w:t>Patients were included in this cohort where:</w:t>
      </w:r>
    </w:p>
    <w:p w14:paraId="2DE0F214" w14:textId="77777777" w:rsidR="009B1AE8" w:rsidRPr="00F32E69" w:rsidRDefault="009B1AE8" w:rsidP="009B1AE8">
      <w:pPr>
        <w:pStyle w:val="Compact"/>
        <w:numPr>
          <w:ilvl w:val="0"/>
          <w:numId w:val="2"/>
        </w:numPr>
      </w:pPr>
      <w:r w:rsidRPr="00F32E69">
        <w:t>Age at treatment date (using first administration date) was 25 and under</w:t>
      </w:r>
    </w:p>
    <w:p w14:paraId="29B3AE5A" w14:textId="77777777" w:rsidR="009B1AE8" w:rsidRPr="00F32E69" w:rsidRDefault="009B1AE8" w:rsidP="009B1AE8">
      <w:pPr>
        <w:pStyle w:val="Compact"/>
        <w:numPr>
          <w:ilvl w:val="0"/>
          <w:numId w:val="2"/>
        </w:numPr>
      </w:pPr>
      <w:r w:rsidRPr="00F32E69">
        <w:t>Gender field was known (male or female)</w:t>
      </w:r>
    </w:p>
    <w:p w14:paraId="6D34784D" w14:textId="77777777" w:rsidR="009B1AE8" w:rsidRPr="00F32E69" w:rsidRDefault="009B1AE8" w:rsidP="009B1AE8">
      <w:pPr>
        <w:pStyle w:val="Compact"/>
        <w:numPr>
          <w:ilvl w:val="0"/>
          <w:numId w:val="2"/>
        </w:numPr>
      </w:pPr>
      <w:r w:rsidRPr="00F32E69">
        <w:t>ICD-10 diagnosis code was C910 (blinatumomab has more than one indication)</w:t>
      </w:r>
    </w:p>
    <w:p w14:paraId="10F8185D" w14:textId="60FB2090" w:rsidR="009B1AE8" w:rsidRPr="00F32E69" w:rsidRDefault="009B1AE8" w:rsidP="009B1AE8">
      <w:pPr>
        <w:pStyle w:val="Compact"/>
        <w:numPr>
          <w:ilvl w:val="0"/>
          <w:numId w:val="2"/>
        </w:numPr>
      </w:pPr>
      <w:r w:rsidRPr="00F32E69">
        <w:t xml:space="preserve">Treatment included a drug administration of blinatumomab, defined in the drug detail table of SACT. Drug tables were used to define the cohort rather than regimen level information, these regimens include a period of induction prior to the immunotherapy being given. Some patients may have a record of starting a relevant </w:t>
      </w:r>
      <w:r w:rsidRPr="00F32E69">
        <w:lastRenderedPageBreak/>
        <w:t>regimen but not actually receiving the immunotherapy if the regimen is discontinued before immunotherapy administration</w:t>
      </w:r>
    </w:p>
    <w:p w14:paraId="18CB5AF7" w14:textId="30F92487" w:rsidR="009B1AE8" w:rsidRPr="00F32E69" w:rsidRDefault="009B1AE8" w:rsidP="009B1AE8">
      <w:pPr>
        <w:pStyle w:val="Compact"/>
        <w:numPr>
          <w:ilvl w:val="0"/>
          <w:numId w:val="2"/>
        </w:numPr>
      </w:pPr>
      <w:r w:rsidRPr="00F32E69">
        <w:t>The treatment regimen containing blinatumomab was started before 1st November 2019. After this date blinatumomab was made available as a treatment for minimal residual disease</w:t>
      </w:r>
      <w:r w:rsidR="006702DE" w:rsidRPr="00F32E69">
        <w:t xml:space="preserve"> acute lymphoblastic leukaemia</w:t>
      </w:r>
      <w:r w:rsidRPr="00F32E69">
        <w:t xml:space="preserve"> </w:t>
      </w:r>
      <w:r w:rsidR="006702DE" w:rsidRPr="00F32E69">
        <w:t>(</w:t>
      </w:r>
      <w:r w:rsidRPr="00F32E69">
        <w:t>ALL</w:t>
      </w:r>
      <w:r w:rsidR="006702DE" w:rsidRPr="00F32E69">
        <w:t>)</w:t>
      </w:r>
      <w:r w:rsidRPr="00F32E69">
        <w:t>, which is not part of our cohort</w:t>
      </w:r>
    </w:p>
    <w:p w14:paraId="26EAA9B0" w14:textId="501C80BC" w:rsidR="002D24D1" w:rsidRPr="00F32E69" w:rsidRDefault="009B1AE8" w:rsidP="002D24D1">
      <w:pPr>
        <w:pStyle w:val="Compact"/>
        <w:numPr>
          <w:ilvl w:val="0"/>
          <w:numId w:val="2"/>
        </w:numPr>
      </w:pPr>
      <w:r w:rsidRPr="00F32E69">
        <w:t>The patient was primary refractory ALL, defined as having a regimen containing dexamethasone, vincristine, mercaptopurine or asparaginase between 29 and 50 days prior to their blinatumomab infusion, or second relapse / chemo refractory ALL, defined as having mixotantrone more than 29 days before the blinatumomab infusion or a stem cell transplant prior to the blinatumomab infusion. These dates were selected as the best means of distinguishing between refractory/second relapsed ALL rather than non-refractory/relapsed.</w:t>
      </w:r>
      <w:r w:rsidR="002D24D1" w:rsidRPr="00F32E69">
        <w:t xml:space="preserve"> Patients are defined as primary refractory if they fail a full chemotherapy induction regimen</w:t>
      </w:r>
      <w:r w:rsidR="004D4398" w:rsidRPr="00F32E69">
        <w:rPr>
          <w:rStyle w:val="FootnoteReference"/>
        </w:rPr>
        <w:footnoteReference w:id="4"/>
      </w:r>
      <w:r w:rsidR="002D24D1" w:rsidRPr="00F32E69">
        <w:t>. According to the UKALL 2019 guidelines, induction regimens could be one of three regimens taken for 29 days</w:t>
      </w:r>
      <w:r w:rsidR="006463B8" w:rsidRPr="00F32E69">
        <w:rPr>
          <w:rStyle w:val="FootnoteReference"/>
        </w:rPr>
        <w:footnoteReference w:id="5"/>
      </w:r>
      <w:r w:rsidR="002D24D1" w:rsidRPr="00F32E69">
        <w:t>. Therefore, patients receiving blinatumomab 29 days after a chemotherapy induction regimen are assumed primary refractory. This criterion was expanded from 29 to 50 days to account for reasonable gaps between the treatments. For chemo-refractory and second relapse, first-line chemotherapy consists of a regimen of either 3 drugs (dexamethasone, vincristine and asparaginase) or 4 drugs (dexamethasone, vincristine, asparaginase and daunorubicin)</w:t>
      </w:r>
      <w:r w:rsidR="0044605C" w:rsidRPr="00F32E69">
        <w:rPr>
          <w:rStyle w:val="FootnoteReference"/>
        </w:rPr>
        <w:footnoteReference w:id="6"/>
      </w:r>
      <w:r w:rsidR="002D24D1" w:rsidRPr="00F32E69">
        <w:t>. After first relapse, a patient could receive either blinatumomab, inotuzumab ozogamicin or UK ALLR3, a 4-drug chemotherapy regimen of dexamethasone, vincristine, asparaginase and mitoxantrone, going on to receive an allo-SCT or UK ALLR3 maintenance</w:t>
      </w:r>
      <w:r w:rsidR="00F175B6" w:rsidRPr="00F32E69">
        <w:rPr>
          <w:rStyle w:val="FootnoteReference"/>
        </w:rPr>
        <w:footnoteReference w:id="7"/>
      </w:r>
      <w:r w:rsidR="002D24D1" w:rsidRPr="00F32E69">
        <w:t xml:space="preserve">. If patients had received blinatumomab at first relapse they should not have received prior mitoxantrone as this is only a component of UK ALLR3 and not the first-line treatments. With the assumption that patients are unlikely to be treated with blinatumomab twice, those who receive </w:t>
      </w:r>
      <w:r w:rsidR="002D24D1" w:rsidRPr="00F32E69">
        <w:lastRenderedPageBreak/>
        <w:t>mitoxantrone or an allo-SCT, then subsequent blinatumomab, are likely in second relapse or chemo-refractory.</w:t>
      </w:r>
    </w:p>
    <w:p w14:paraId="4C6D6B87" w14:textId="137C8C1F" w:rsidR="009B1AE8" w:rsidRPr="00F32E69" w:rsidRDefault="009B1AE8" w:rsidP="00867597">
      <w:pPr>
        <w:pStyle w:val="Compact"/>
        <w:ind w:left="720"/>
      </w:pPr>
    </w:p>
    <w:p w14:paraId="1CC303EB" w14:textId="77777777" w:rsidR="009B1AE8" w:rsidRPr="00F32E69" w:rsidRDefault="009B1AE8" w:rsidP="009B1AE8">
      <w:pPr>
        <w:pStyle w:val="Heading3"/>
        <w:rPr>
          <w:color w:val="auto"/>
        </w:rPr>
      </w:pPr>
      <w:r w:rsidRPr="00F32E69">
        <w:rPr>
          <w:color w:val="auto"/>
        </w:rPr>
        <w:t>Patient Acknowledgement</w:t>
      </w:r>
    </w:p>
    <w:p w14:paraId="007A1B1A" w14:textId="7DA6B2C1" w:rsidR="009B1AE8" w:rsidRPr="00F32E69" w:rsidRDefault="009B1AE8" w:rsidP="009B1AE8">
      <w:pPr>
        <w:pStyle w:val="FirstParagraph"/>
      </w:pPr>
      <w:r w:rsidRPr="00F32E69">
        <w:t xml:space="preserve">This work uses data that has been provided by patients and collected by the NHS as part of their care and support. The data is collated, maintained and quality assured by the National </w:t>
      </w:r>
      <w:r w:rsidR="001E3C78" w:rsidRPr="00F32E69">
        <w:t>Disease Registration</w:t>
      </w:r>
      <w:r w:rsidRPr="00F32E69">
        <w:t xml:space="preserve"> Service, which is part of NHS England.</w:t>
      </w:r>
    </w:p>
    <w:p w14:paraId="676E67EB" w14:textId="77777777" w:rsidR="009B1AE8" w:rsidRPr="00F32E69" w:rsidRDefault="009B1AE8" w:rsidP="009B1AE8">
      <w:pPr>
        <w:pStyle w:val="Heading2"/>
        <w:rPr>
          <w:color w:val="auto"/>
        </w:rPr>
      </w:pPr>
      <w:r w:rsidRPr="00F32E69">
        <w:rPr>
          <w:color w:val="auto"/>
        </w:rPr>
        <w:t>Results</w:t>
      </w:r>
    </w:p>
    <w:p w14:paraId="11959A69" w14:textId="77777777" w:rsidR="009B1AE8" w:rsidRPr="00F32E69" w:rsidRDefault="009B1AE8" w:rsidP="009B1AE8">
      <w:pPr>
        <w:pStyle w:val="Heading3"/>
        <w:rPr>
          <w:color w:val="auto"/>
        </w:rPr>
      </w:pPr>
      <w:r w:rsidRPr="00F32E69">
        <w:rPr>
          <w:color w:val="auto"/>
        </w:rPr>
        <w:t>Age at start of treatment</w:t>
      </w:r>
    </w:p>
    <w:p w14:paraId="33516CA3" w14:textId="757FC994" w:rsidR="009B1AE8" w:rsidRPr="00F32E69" w:rsidRDefault="009B1AE8" w:rsidP="009B1AE8">
      <w:pPr>
        <w:pStyle w:val="FirstParagraph"/>
      </w:pPr>
      <w:r w:rsidRPr="00F32E69">
        <w:t xml:space="preserve">The table below sets out the mean age, </w:t>
      </w:r>
      <w:r w:rsidR="00B701F7" w:rsidRPr="00F32E69">
        <w:t>standard (</w:t>
      </w:r>
      <w:r w:rsidRPr="00F32E69">
        <w:t>std.</w:t>
      </w:r>
      <w:r w:rsidR="00B701F7" w:rsidRPr="00F32E69">
        <w:t>)</w:t>
      </w:r>
      <w:r w:rsidRPr="00F32E69">
        <w:t xml:space="preserve"> deviation, median age and </w:t>
      </w:r>
      <w:r w:rsidR="00B701F7" w:rsidRPr="00F32E69">
        <w:t>interquartile range (</w:t>
      </w:r>
      <w:r w:rsidRPr="00F32E69">
        <w:t>IQR</w:t>
      </w:r>
      <w:r w:rsidR="00B701F7" w:rsidRPr="00F32E69">
        <w:t>)</w:t>
      </w:r>
      <w:r w:rsidRPr="00F32E69">
        <w:t xml:space="preserve"> of patients who have received blinatumomab. Age is measured at the commencement of the administration date of blinatumomab.</w:t>
      </w:r>
    </w:p>
    <w:p w14:paraId="3DD5D87F" w14:textId="5F6CA4C6" w:rsidR="00250FED" w:rsidRPr="00F32E69" w:rsidRDefault="00250FED" w:rsidP="00867597">
      <w:pPr>
        <w:pStyle w:val="BodyText"/>
        <w:rPr>
          <w:b/>
          <w:bCs/>
          <w:i/>
          <w:iCs/>
        </w:rPr>
      </w:pPr>
      <w:r w:rsidRPr="00F32E69">
        <w:rPr>
          <w:rFonts w:ascii="Cambria" w:eastAsia="Cambria" w:hAnsi="Cambria" w:cs="Cambria"/>
          <w:b/>
          <w:bCs/>
          <w:i/>
          <w:iCs/>
        </w:rPr>
        <w:t xml:space="preserve">Cohort 2 Table 1: Mean age, standard deviation, median age and IQR of patients who have received </w:t>
      </w:r>
      <w:r w:rsidRPr="00F32E69">
        <w:rPr>
          <w:b/>
          <w:bCs/>
          <w:i/>
          <w:iCs/>
        </w:rPr>
        <w:t>blinatumomab</w:t>
      </w:r>
    </w:p>
    <w:tbl>
      <w:tblPr>
        <w:tblW w:w="0" w:type="auto"/>
        <w:jc w:val="center"/>
        <w:tblCellMar>
          <w:left w:w="60" w:type="dxa"/>
          <w:right w:w="60" w:type="dxa"/>
        </w:tblCellMar>
        <w:tblLook w:val="0000" w:firstRow="0" w:lastRow="0" w:firstColumn="0" w:lastColumn="0" w:noHBand="0" w:noVBand="0"/>
      </w:tblPr>
      <w:tblGrid>
        <w:gridCol w:w="1875"/>
        <w:gridCol w:w="1553"/>
        <w:gridCol w:w="1553"/>
      </w:tblGrid>
      <w:tr w:rsidR="00F32E69" w:rsidRPr="00F32E69" w14:paraId="7DC7A5D2" w14:textId="77777777" w:rsidTr="003A5D4A">
        <w:trPr>
          <w:cantSplit/>
          <w:tblHeader/>
          <w:jc w:val="center"/>
        </w:trPr>
        <w:tc>
          <w:tcPr>
            <w:tcW w:w="0" w:type="auto"/>
            <w:tcBorders>
              <w:top w:val="single" w:sz="4" w:space="0" w:color="auto"/>
              <w:left w:val="single" w:sz="4" w:space="0" w:color="auto"/>
              <w:bottom w:val="single" w:sz="4" w:space="0" w:color="auto"/>
              <w:right w:val="single" w:sz="4" w:space="0" w:color="auto"/>
            </w:tcBorders>
          </w:tcPr>
          <w:p w14:paraId="55C16F6C" w14:textId="77777777" w:rsidR="009B1AE8" w:rsidRPr="00F32E69" w:rsidRDefault="009B1AE8" w:rsidP="00A314DF">
            <w:pPr>
              <w:keepNext/>
              <w:spacing w:after="60"/>
            </w:pPr>
            <w:r w:rsidRPr="00F32E69">
              <w:rPr>
                <w:rFonts w:ascii="Calibri" w:hAnsi="Calibri"/>
                <w:b/>
                <w:sz w:val="20"/>
              </w:rPr>
              <w:t>Characteristic</w:t>
            </w:r>
          </w:p>
        </w:tc>
        <w:tc>
          <w:tcPr>
            <w:tcW w:w="0" w:type="auto"/>
            <w:tcBorders>
              <w:top w:val="single" w:sz="4" w:space="0" w:color="auto"/>
              <w:left w:val="single" w:sz="4" w:space="0" w:color="auto"/>
              <w:bottom w:val="single" w:sz="4" w:space="0" w:color="auto"/>
              <w:right w:val="single" w:sz="4" w:space="0" w:color="auto"/>
            </w:tcBorders>
          </w:tcPr>
          <w:p w14:paraId="78DC63A3" w14:textId="77777777" w:rsidR="009B1AE8" w:rsidRPr="00F32E69" w:rsidRDefault="009B1AE8" w:rsidP="00A314DF">
            <w:pPr>
              <w:keepNext/>
              <w:spacing w:after="60"/>
              <w:jc w:val="center"/>
            </w:pPr>
            <w:r w:rsidRPr="00F32E69">
              <w:rPr>
                <w:rFonts w:ascii="Calibri" w:hAnsi="Calibri"/>
                <w:b/>
                <w:sz w:val="20"/>
              </w:rPr>
              <w:t>Female</w:t>
            </w:r>
            <w:r w:rsidRPr="00F32E69">
              <w:rPr>
                <w:rFonts w:ascii="Calibri" w:hAnsi="Calibri"/>
                <w:sz w:val="20"/>
              </w:rPr>
              <w:t xml:space="preserve"> N = 26</w:t>
            </w:r>
            <w:r w:rsidRPr="00F32E69">
              <w:rPr>
                <w:rFonts w:ascii="Calibri" w:hAnsi="Calibri"/>
                <w:i/>
                <w:sz w:val="20"/>
                <w:vertAlign w:val="superscript"/>
              </w:rPr>
              <w:t>1</w:t>
            </w:r>
          </w:p>
        </w:tc>
        <w:tc>
          <w:tcPr>
            <w:tcW w:w="0" w:type="auto"/>
            <w:tcBorders>
              <w:top w:val="single" w:sz="4" w:space="0" w:color="auto"/>
              <w:left w:val="single" w:sz="4" w:space="0" w:color="auto"/>
              <w:bottom w:val="single" w:sz="4" w:space="0" w:color="auto"/>
              <w:right w:val="single" w:sz="4" w:space="0" w:color="auto"/>
            </w:tcBorders>
          </w:tcPr>
          <w:p w14:paraId="39E76983" w14:textId="77777777" w:rsidR="009B1AE8" w:rsidRPr="00F32E69" w:rsidRDefault="009B1AE8" w:rsidP="00A314DF">
            <w:pPr>
              <w:keepNext/>
              <w:spacing w:after="60"/>
              <w:jc w:val="center"/>
            </w:pPr>
            <w:r w:rsidRPr="00F32E69">
              <w:rPr>
                <w:rFonts w:ascii="Calibri" w:hAnsi="Calibri"/>
                <w:b/>
                <w:sz w:val="20"/>
              </w:rPr>
              <w:t>Male</w:t>
            </w:r>
            <w:r w:rsidRPr="00F32E69">
              <w:rPr>
                <w:rFonts w:ascii="Calibri" w:hAnsi="Calibri"/>
                <w:sz w:val="20"/>
              </w:rPr>
              <w:t xml:space="preserve"> N = 30</w:t>
            </w:r>
            <w:r w:rsidRPr="00F32E69">
              <w:rPr>
                <w:rFonts w:ascii="Calibri" w:hAnsi="Calibri"/>
                <w:i/>
                <w:sz w:val="20"/>
                <w:vertAlign w:val="superscript"/>
              </w:rPr>
              <w:t>1</w:t>
            </w:r>
          </w:p>
        </w:tc>
      </w:tr>
      <w:tr w:rsidR="00F32E69" w:rsidRPr="00F32E69" w14:paraId="7066D0B8" w14:textId="77777777" w:rsidTr="003A5D4A">
        <w:trPr>
          <w:cantSplit/>
          <w:jc w:val="center"/>
        </w:trPr>
        <w:tc>
          <w:tcPr>
            <w:tcW w:w="0" w:type="auto"/>
            <w:tcBorders>
              <w:top w:val="single" w:sz="4" w:space="0" w:color="auto"/>
              <w:left w:val="single" w:sz="0" w:space="0" w:color="D3D3D3"/>
              <w:bottom w:val="single" w:sz="0" w:space="0" w:color="D3D3D3"/>
              <w:right w:val="single" w:sz="0" w:space="0" w:color="D3D3D3"/>
            </w:tcBorders>
          </w:tcPr>
          <w:p w14:paraId="6F316452" w14:textId="77777777" w:rsidR="009B1AE8" w:rsidRPr="00F32E69" w:rsidRDefault="009B1AE8" w:rsidP="00A314DF">
            <w:pPr>
              <w:keepNext/>
              <w:spacing w:after="60"/>
            </w:pPr>
            <w:r w:rsidRPr="00F32E69">
              <w:rPr>
                <w:rFonts w:ascii="Calibri" w:hAnsi="Calibri"/>
                <w:sz w:val="20"/>
              </w:rPr>
              <w:t>Age at administration</w:t>
            </w:r>
          </w:p>
        </w:tc>
        <w:tc>
          <w:tcPr>
            <w:tcW w:w="0" w:type="auto"/>
            <w:tcBorders>
              <w:top w:val="single" w:sz="4" w:space="0" w:color="auto"/>
              <w:left w:val="single" w:sz="0" w:space="0" w:color="D3D3D3"/>
              <w:bottom w:val="single" w:sz="0" w:space="0" w:color="D3D3D3"/>
              <w:right w:val="single" w:sz="0" w:space="0" w:color="D3D3D3"/>
            </w:tcBorders>
          </w:tcPr>
          <w:p w14:paraId="54E28185" w14:textId="77777777" w:rsidR="009B1AE8" w:rsidRPr="00F32E69" w:rsidRDefault="009B1AE8" w:rsidP="00A314DF">
            <w:pPr>
              <w:keepNext/>
              <w:spacing w:after="60"/>
              <w:jc w:val="center"/>
            </w:pPr>
            <w:r w:rsidRPr="00F32E69">
              <w:rPr>
                <w:rFonts w:ascii="Calibri" w:hAnsi="Calibri"/>
                <w:sz w:val="20"/>
              </w:rPr>
              <w:t>12, (7) : 12 (6, 18)</w:t>
            </w:r>
          </w:p>
        </w:tc>
        <w:tc>
          <w:tcPr>
            <w:tcW w:w="0" w:type="auto"/>
            <w:tcBorders>
              <w:top w:val="single" w:sz="4" w:space="0" w:color="auto"/>
              <w:left w:val="single" w:sz="0" w:space="0" w:color="D3D3D3"/>
              <w:bottom w:val="single" w:sz="0" w:space="0" w:color="D3D3D3"/>
              <w:right w:val="single" w:sz="0" w:space="0" w:color="D3D3D3"/>
            </w:tcBorders>
          </w:tcPr>
          <w:p w14:paraId="108F9C2B" w14:textId="77777777" w:rsidR="009B1AE8" w:rsidRPr="00F32E69" w:rsidRDefault="009B1AE8" w:rsidP="00A314DF">
            <w:pPr>
              <w:keepNext/>
              <w:spacing w:after="60"/>
              <w:jc w:val="center"/>
            </w:pPr>
            <w:r w:rsidRPr="00F32E69">
              <w:rPr>
                <w:rFonts w:ascii="Calibri" w:hAnsi="Calibri"/>
                <w:sz w:val="20"/>
              </w:rPr>
              <w:t>12, (7) : 12 (7, 19)</w:t>
            </w:r>
          </w:p>
        </w:tc>
      </w:tr>
      <w:tr w:rsidR="00F32E69" w:rsidRPr="00F32E69" w14:paraId="56351D20" w14:textId="77777777" w:rsidTr="00A314DF">
        <w:trPr>
          <w:cantSplit/>
          <w:jc w:val="center"/>
        </w:trPr>
        <w:tc>
          <w:tcPr>
            <w:tcW w:w="0" w:type="auto"/>
            <w:gridSpan w:val="3"/>
          </w:tcPr>
          <w:p w14:paraId="33621E67" w14:textId="77777777" w:rsidR="009B1AE8" w:rsidRPr="00F32E69" w:rsidRDefault="009B1AE8" w:rsidP="00A314DF">
            <w:pPr>
              <w:keepNext/>
              <w:spacing w:after="60"/>
            </w:pPr>
            <w:r w:rsidRPr="00F32E69">
              <w:rPr>
                <w:rFonts w:ascii="Calibri" w:hAnsi="Calibri"/>
                <w:i/>
                <w:sz w:val="20"/>
                <w:vertAlign w:val="superscript"/>
              </w:rPr>
              <w:t>1</w:t>
            </w:r>
            <w:r w:rsidRPr="00F32E69">
              <w:rPr>
                <w:rFonts w:ascii="Calibri" w:hAnsi="Calibri"/>
                <w:sz w:val="20"/>
              </w:rPr>
              <w:t>Mean, (SD) : Median (Q1, Q3)</w:t>
            </w:r>
          </w:p>
        </w:tc>
      </w:tr>
    </w:tbl>
    <w:p w14:paraId="4EAB27F2" w14:textId="77777777" w:rsidR="009B1AE8" w:rsidRPr="00F32E69" w:rsidRDefault="009B1AE8" w:rsidP="009B1AE8">
      <w:r w:rsidRPr="00F32E69">
        <w:br w:type="page"/>
      </w:r>
    </w:p>
    <w:p w14:paraId="17284828" w14:textId="77777777" w:rsidR="009B1AE8" w:rsidRPr="00F32E69" w:rsidRDefault="009B1AE8" w:rsidP="009B1AE8">
      <w:pPr>
        <w:pStyle w:val="Heading3"/>
        <w:rPr>
          <w:color w:val="auto"/>
        </w:rPr>
      </w:pPr>
      <w:bookmarkStart w:id="34" w:name="Xc112d053881e94092c535f626161c355cee118f"/>
      <w:r w:rsidRPr="00F32E69">
        <w:rPr>
          <w:color w:val="auto"/>
        </w:rPr>
        <w:lastRenderedPageBreak/>
        <w:t>Overall Survival (excluding clinical trials)</w:t>
      </w:r>
    </w:p>
    <w:p w14:paraId="7F64E6D1" w14:textId="77777777" w:rsidR="009B1AE8" w:rsidRPr="00F32E69" w:rsidRDefault="009B1AE8" w:rsidP="009B1AE8">
      <w:pPr>
        <w:pStyle w:val="Heading4"/>
        <w:rPr>
          <w:color w:val="auto"/>
        </w:rPr>
      </w:pPr>
      <w:r w:rsidRPr="00F32E69">
        <w:rPr>
          <w:color w:val="auto"/>
        </w:rPr>
        <w:t>Base K-M plot</w:t>
      </w:r>
    </w:p>
    <w:p w14:paraId="5CF7DA48" w14:textId="77777777" w:rsidR="009B1AE8" w:rsidRPr="00F32E69" w:rsidRDefault="009B1AE8" w:rsidP="009B1AE8">
      <w:pPr>
        <w:pStyle w:val="FirstParagraph"/>
      </w:pPr>
      <w:r w:rsidRPr="00F32E69">
        <w:t>The Kaplan-Meier plot below shows overall survival over time for those receiving blinatumomab.</w:t>
      </w:r>
    </w:p>
    <w:p w14:paraId="2176562B" w14:textId="5B243921" w:rsidR="00250FED" w:rsidRPr="00F32E69" w:rsidRDefault="00250FED" w:rsidP="00867597">
      <w:pPr>
        <w:pStyle w:val="BodyText"/>
      </w:pPr>
      <w:r w:rsidRPr="00F32E69">
        <w:rPr>
          <w:b/>
          <w:bCs/>
          <w:i/>
          <w:iCs/>
        </w:rPr>
        <w:t xml:space="preserve">Cohort 2 Figure 1: Kaplan-Meier plot </w:t>
      </w:r>
      <w:r w:rsidR="00C304F4" w:rsidRPr="00F32E69">
        <w:rPr>
          <w:b/>
          <w:bCs/>
          <w:i/>
          <w:iCs/>
        </w:rPr>
        <w:t xml:space="preserve">of overall survival </w:t>
      </w:r>
      <w:r w:rsidR="00C304F4" w:rsidRPr="00F32E69">
        <w:rPr>
          <w:rFonts w:ascii="Cambria" w:eastAsia="Cambria" w:hAnsi="Cambria" w:cs="Cambria"/>
          <w:b/>
          <w:bCs/>
          <w:i/>
          <w:iCs/>
        </w:rPr>
        <w:t xml:space="preserve">amongst patients who have received </w:t>
      </w:r>
      <w:r w:rsidRPr="00F32E69">
        <w:rPr>
          <w:b/>
          <w:bCs/>
          <w:i/>
          <w:iCs/>
        </w:rPr>
        <w:t>blinatumomab</w:t>
      </w:r>
    </w:p>
    <w:tbl>
      <w:tblPr>
        <w:tblStyle w:val="Table"/>
        <w:tblW w:w="5000" w:type="pct"/>
        <w:tblLook w:val="0000" w:firstRow="0" w:lastRow="0" w:firstColumn="0" w:lastColumn="0" w:noHBand="0" w:noVBand="0"/>
      </w:tblPr>
      <w:tblGrid>
        <w:gridCol w:w="9360"/>
      </w:tblGrid>
      <w:tr w:rsidR="00F32E69" w:rsidRPr="00F32E69" w14:paraId="02575E53" w14:textId="77777777" w:rsidTr="00A314DF">
        <w:tc>
          <w:tcPr>
            <w:tcW w:w="0" w:type="auto"/>
          </w:tcPr>
          <w:p w14:paraId="2B7DEDD3" w14:textId="77777777" w:rsidR="009B1AE8" w:rsidRPr="00F32E69" w:rsidRDefault="009B1AE8" w:rsidP="00A314DF">
            <w:pPr>
              <w:jc w:val="center"/>
            </w:pPr>
            <w:r w:rsidRPr="00F32E69">
              <w:rPr>
                <w:noProof/>
              </w:rPr>
              <w:drawing>
                <wp:inline distT="0" distB="0" distL="0" distR="0" wp14:anchorId="4E8BDA8D" wp14:editId="43DE9680">
                  <wp:extent cx="4620126" cy="3696101"/>
                  <wp:effectExtent l="0" t="0" r="0" b="0"/>
                  <wp:docPr id="27" name="Picture" descr="A Kaplan-Meier plot showing overall survival over time for individuals who have received blinatumomab"/>
                  <wp:cNvGraphicFramePr/>
                  <a:graphic xmlns:a="http://schemas.openxmlformats.org/drawingml/2006/main">
                    <a:graphicData uri="http://schemas.openxmlformats.org/drawingml/2006/picture">
                      <pic:pic xmlns:pic="http://schemas.openxmlformats.org/drawingml/2006/picture">
                        <pic:nvPicPr>
                          <pic:cNvPr id="27" name="Picture" descr="A Kaplan-Meier plot showing overall survival over time for individuals who have received blinatumomab"/>
                          <pic:cNvPicPr>
                            <a:picLocks noChangeAspect="1" noChangeArrowheads="1"/>
                          </pic:cNvPicPr>
                        </pic:nvPicPr>
                        <pic:blipFill>
                          <a:blip r:embed="rId20"/>
                          <a:stretch>
                            <a:fillRect/>
                          </a:stretch>
                        </pic:blipFill>
                        <pic:spPr bwMode="auto">
                          <a:xfrm>
                            <a:off x="0" y="0"/>
                            <a:ext cx="4620126" cy="3696101"/>
                          </a:xfrm>
                          <a:prstGeom prst="rect">
                            <a:avLst/>
                          </a:prstGeom>
                          <a:noFill/>
                          <a:ln w="9525">
                            <a:noFill/>
                            <a:headEnd/>
                            <a:tailEnd/>
                          </a:ln>
                        </pic:spPr>
                      </pic:pic>
                    </a:graphicData>
                  </a:graphic>
                </wp:inline>
              </w:drawing>
            </w:r>
          </w:p>
          <w:p w14:paraId="19198030" w14:textId="7F248E72" w:rsidR="009B1AE8" w:rsidRPr="00F32E69" w:rsidRDefault="009B1AE8" w:rsidP="00A314DF">
            <w:pPr>
              <w:pStyle w:val="ImageCaption"/>
              <w:spacing w:before="200"/>
            </w:pPr>
          </w:p>
        </w:tc>
      </w:tr>
    </w:tbl>
    <w:p w14:paraId="6CCA420F" w14:textId="77777777" w:rsidR="009B1AE8" w:rsidRPr="00F32E69" w:rsidRDefault="009B1AE8" w:rsidP="009B1AE8">
      <w:pPr>
        <w:pStyle w:val="BodyText"/>
      </w:pPr>
      <w:r w:rsidRPr="00F32E69">
        <w:t>Median survival was 62.52 and restricted mean survival (over the whole curve) was 62.99 months. The minimum follow-up time was 0.7 months, median 64.1 months, and maximum follow-up time of 110.5 months.</w:t>
      </w:r>
    </w:p>
    <w:p w14:paraId="2655243A" w14:textId="77777777" w:rsidR="009B1AE8" w:rsidRPr="00F32E69" w:rsidRDefault="009B1AE8" w:rsidP="009B1AE8">
      <w:r w:rsidRPr="00F32E69">
        <w:br w:type="page"/>
      </w:r>
    </w:p>
    <w:p w14:paraId="2B5B8955" w14:textId="77777777" w:rsidR="009B1AE8" w:rsidRPr="00F32E69" w:rsidRDefault="009B1AE8" w:rsidP="009B1AE8">
      <w:pPr>
        <w:pStyle w:val="Heading4"/>
        <w:rPr>
          <w:color w:val="auto"/>
        </w:rPr>
      </w:pPr>
      <w:r w:rsidRPr="00F32E69">
        <w:rPr>
          <w:color w:val="auto"/>
        </w:rPr>
        <w:lastRenderedPageBreak/>
        <w:t>Exponential</w:t>
      </w:r>
    </w:p>
    <w:p w14:paraId="2AF62FE4" w14:textId="5DF80663" w:rsidR="00250FED" w:rsidRPr="00F32E69" w:rsidRDefault="00250FED" w:rsidP="00867597">
      <w:pPr>
        <w:pStyle w:val="BodyText"/>
        <w:rPr>
          <w:b/>
          <w:iCs/>
        </w:rPr>
      </w:pPr>
      <w:r w:rsidRPr="00F32E69">
        <w:rPr>
          <w:b/>
          <w:bCs/>
          <w:i/>
          <w:iCs/>
        </w:rPr>
        <w:t xml:space="preserve">Cohort 2 Figure 2: Kaplan-Meier plot with Exponential fit </w:t>
      </w:r>
      <w:r w:rsidR="00C304F4" w:rsidRPr="00F32E69">
        <w:rPr>
          <w:b/>
          <w:bCs/>
          <w:i/>
          <w:iCs/>
        </w:rPr>
        <w:t xml:space="preserve">of overall survival </w:t>
      </w:r>
      <w:r w:rsidR="00C304F4" w:rsidRPr="00F32E69">
        <w:rPr>
          <w:rFonts w:ascii="Cambria" w:eastAsia="Cambria" w:hAnsi="Cambria" w:cs="Cambria"/>
          <w:b/>
          <w:bCs/>
          <w:i/>
          <w:iCs/>
        </w:rPr>
        <w:t xml:space="preserve">amongst patients who have received </w:t>
      </w:r>
      <w:r w:rsidRPr="00F32E69">
        <w:rPr>
          <w:b/>
          <w:bCs/>
          <w:i/>
          <w:iCs/>
        </w:rPr>
        <w:t>blinatumomab</w:t>
      </w:r>
    </w:p>
    <w:tbl>
      <w:tblPr>
        <w:tblStyle w:val="Table"/>
        <w:tblW w:w="5000" w:type="pct"/>
        <w:tblLook w:val="0000" w:firstRow="0" w:lastRow="0" w:firstColumn="0" w:lastColumn="0" w:noHBand="0" w:noVBand="0"/>
      </w:tblPr>
      <w:tblGrid>
        <w:gridCol w:w="9360"/>
      </w:tblGrid>
      <w:tr w:rsidR="00F32E69" w:rsidRPr="00F32E69" w14:paraId="734E23D4" w14:textId="77777777" w:rsidTr="00A314DF">
        <w:tc>
          <w:tcPr>
            <w:tcW w:w="0" w:type="auto"/>
          </w:tcPr>
          <w:p w14:paraId="71B0478F" w14:textId="77777777" w:rsidR="009B1AE8" w:rsidRPr="00F32E69" w:rsidRDefault="009B1AE8" w:rsidP="00A314DF">
            <w:pPr>
              <w:jc w:val="center"/>
            </w:pPr>
            <w:r w:rsidRPr="00F32E69">
              <w:rPr>
                <w:noProof/>
              </w:rPr>
              <w:drawing>
                <wp:inline distT="0" distB="0" distL="0" distR="0" wp14:anchorId="1543DB26" wp14:editId="216F3BD2">
                  <wp:extent cx="4620126" cy="3696101"/>
                  <wp:effectExtent l="0" t="0" r="0" b="0"/>
                  <wp:docPr id="32" name="Picture" descr="A Kaplan-Meier plot showing overall survival over time for individuals who have received blinatumomab, with an overlaid exponential model fit. "/>
                  <wp:cNvGraphicFramePr/>
                  <a:graphic xmlns:a="http://schemas.openxmlformats.org/drawingml/2006/main">
                    <a:graphicData uri="http://schemas.openxmlformats.org/drawingml/2006/picture">
                      <pic:pic xmlns:pic="http://schemas.openxmlformats.org/drawingml/2006/picture">
                        <pic:nvPicPr>
                          <pic:cNvPr id="32" name="Picture" descr="A Kaplan-Meier plot showing overall survival over time for individuals who have received blinatumomab, with an overlaid exponential model fit. "/>
                          <pic:cNvPicPr>
                            <a:picLocks noChangeAspect="1" noChangeArrowheads="1"/>
                          </pic:cNvPicPr>
                        </pic:nvPicPr>
                        <pic:blipFill>
                          <a:blip r:embed="rId21"/>
                          <a:stretch>
                            <a:fillRect/>
                          </a:stretch>
                        </pic:blipFill>
                        <pic:spPr bwMode="auto">
                          <a:xfrm>
                            <a:off x="0" y="0"/>
                            <a:ext cx="4620126" cy="3696101"/>
                          </a:xfrm>
                          <a:prstGeom prst="rect">
                            <a:avLst/>
                          </a:prstGeom>
                          <a:noFill/>
                          <a:ln w="9525">
                            <a:noFill/>
                            <a:headEnd/>
                            <a:tailEnd/>
                          </a:ln>
                        </pic:spPr>
                      </pic:pic>
                    </a:graphicData>
                  </a:graphic>
                </wp:inline>
              </w:drawing>
            </w:r>
          </w:p>
          <w:p w14:paraId="12B6364F" w14:textId="3879A0D4" w:rsidR="009B1AE8" w:rsidRPr="00F32E69" w:rsidRDefault="009B1AE8" w:rsidP="00A314DF">
            <w:pPr>
              <w:pStyle w:val="ImageCaption"/>
              <w:spacing w:before="200"/>
            </w:pPr>
          </w:p>
        </w:tc>
      </w:tr>
    </w:tbl>
    <w:p w14:paraId="17C15F86" w14:textId="77777777" w:rsidR="009B1AE8" w:rsidRPr="00F32E69" w:rsidRDefault="009B1AE8" w:rsidP="009B1AE8">
      <w:pPr>
        <w:pStyle w:val="BodyText"/>
      </w:pPr>
      <w:r w:rsidRPr="00F32E69">
        <w:t> </w:t>
      </w:r>
    </w:p>
    <w:p w14:paraId="707A538B" w14:textId="2D1BB0C5" w:rsidR="009B1AE8" w:rsidRPr="00F32E69" w:rsidRDefault="00250FED" w:rsidP="009B1AE8">
      <w:pPr>
        <w:pStyle w:val="TableCaption"/>
      </w:pPr>
      <w:r w:rsidRPr="00F32E69">
        <w:t xml:space="preserve">Cohort 2 </w:t>
      </w:r>
      <w:r w:rsidR="009B1AE8" w:rsidRPr="00F32E69">
        <w:t>Table </w:t>
      </w:r>
      <w:r w:rsidR="00E840D7" w:rsidRPr="00F32E69">
        <w:t>2</w:t>
      </w:r>
      <w:r w:rsidR="009B1AE8" w:rsidRPr="00F32E69">
        <w:t>: Parameter estimates for Exponential survival model</w:t>
      </w:r>
    </w:p>
    <w:tbl>
      <w:tblPr>
        <w:tblStyle w:val="Table"/>
        <w:tblW w:w="0" w:type="auto"/>
        <w:tblLook w:val="0020" w:firstRow="1" w:lastRow="0" w:firstColumn="0" w:lastColumn="0" w:noHBand="0" w:noVBand="0"/>
        <w:tblCaption w:val="Table 1: Parameter estimates for Exponential survival model"/>
      </w:tblPr>
      <w:tblGrid>
        <w:gridCol w:w="1347"/>
        <w:gridCol w:w="1121"/>
        <w:gridCol w:w="1215"/>
        <w:gridCol w:w="1063"/>
        <w:gridCol w:w="983"/>
      </w:tblGrid>
      <w:tr w:rsidR="00F32E69" w:rsidRPr="00F32E69" w14:paraId="56F29F30" w14:textId="77777777" w:rsidTr="00A314DF">
        <w:trPr>
          <w:cnfStyle w:val="100000000000" w:firstRow="1" w:lastRow="0" w:firstColumn="0" w:lastColumn="0" w:oddVBand="0" w:evenVBand="0" w:oddHBand="0" w:evenHBand="0" w:firstRowFirstColumn="0" w:firstRowLastColumn="0" w:lastRowFirstColumn="0" w:lastRowLastColumn="0"/>
          <w:tblHeader/>
        </w:trPr>
        <w:tc>
          <w:tcPr>
            <w:tcW w:w="0" w:type="auto"/>
          </w:tcPr>
          <w:p w14:paraId="1FE400B9" w14:textId="77777777" w:rsidR="009B1AE8" w:rsidRPr="00F32E69" w:rsidRDefault="009B1AE8" w:rsidP="00A314DF">
            <w:pPr>
              <w:pStyle w:val="Compact"/>
            </w:pPr>
            <w:r w:rsidRPr="00F32E69">
              <w:t>Variable</w:t>
            </w:r>
          </w:p>
        </w:tc>
        <w:tc>
          <w:tcPr>
            <w:tcW w:w="0" w:type="auto"/>
          </w:tcPr>
          <w:p w14:paraId="08FC6B30" w14:textId="77777777" w:rsidR="009B1AE8" w:rsidRPr="00F32E69" w:rsidRDefault="009B1AE8" w:rsidP="00A314DF">
            <w:pPr>
              <w:pStyle w:val="Compact"/>
              <w:jc w:val="right"/>
            </w:pPr>
            <w:r w:rsidRPr="00F32E69">
              <w:t>Estimate</w:t>
            </w:r>
          </w:p>
        </w:tc>
        <w:tc>
          <w:tcPr>
            <w:tcW w:w="0" w:type="auto"/>
          </w:tcPr>
          <w:p w14:paraId="56A8C9D5" w14:textId="77777777" w:rsidR="009B1AE8" w:rsidRPr="00F32E69" w:rsidRDefault="009B1AE8" w:rsidP="00A314DF">
            <w:pPr>
              <w:pStyle w:val="Compact"/>
              <w:jc w:val="right"/>
            </w:pPr>
            <w:r w:rsidRPr="00F32E69">
              <w:t>Std. Error</w:t>
            </w:r>
          </w:p>
        </w:tc>
        <w:tc>
          <w:tcPr>
            <w:tcW w:w="0" w:type="auto"/>
          </w:tcPr>
          <w:p w14:paraId="2453CF77" w14:textId="77777777" w:rsidR="009B1AE8" w:rsidRPr="00F32E69" w:rsidRDefault="009B1AE8" w:rsidP="00A314DF">
            <w:pPr>
              <w:pStyle w:val="Compact"/>
              <w:jc w:val="right"/>
            </w:pPr>
            <w:r w:rsidRPr="00F32E69">
              <w:t>z</w:t>
            </w:r>
          </w:p>
        </w:tc>
        <w:tc>
          <w:tcPr>
            <w:tcW w:w="0" w:type="auto"/>
          </w:tcPr>
          <w:p w14:paraId="3E4ACEF7" w14:textId="77777777" w:rsidR="009B1AE8" w:rsidRPr="00F32E69" w:rsidRDefault="009B1AE8" w:rsidP="00A314DF">
            <w:pPr>
              <w:pStyle w:val="Compact"/>
              <w:jc w:val="right"/>
            </w:pPr>
            <w:r w:rsidRPr="00F32E69">
              <w:t>p-value</w:t>
            </w:r>
          </w:p>
        </w:tc>
      </w:tr>
      <w:tr w:rsidR="00F32E69" w:rsidRPr="00F32E69" w14:paraId="383DE75D" w14:textId="77777777" w:rsidTr="00A314DF">
        <w:tc>
          <w:tcPr>
            <w:tcW w:w="0" w:type="auto"/>
          </w:tcPr>
          <w:p w14:paraId="34D1DCE3" w14:textId="77777777" w:rsidR="009B1AE8" w:rsidRPr="00F32E69" w:rsidRDefault="009B1AE8" w:rsidP="00A314DF">
            <w:pPr>
              <w:pStyle w:val="Compact"/>
            </w:pPr>
            <w:r w:rsidRPr="00F32E69">
              <w:t>(Intercept)</w:t>
            </w:r>
          </w:p>
        </w:tc>
        <w:tc>
          <w:tcPr>
            <w:tcW w:w="0" w:type="auto"/>
          </w:tcPr>
          <w:p w14:paraId="7213D23E" w14:textId="77777777" w:rsidR="009B1AE8" w:rsidRPr="00F32E69" w:rsidRDefault="009B1AE8" w:rsidP="00A314DF">
            <w:pPr>
              <w:pStyle w:val="Compact"/>
              <w:jc w:val="right"/>
            </w:pPr>
            <w:r w:rsidRPr="00F32E69">
              <w:t>4.5165</w:t>
            </w:r>
          </w:p>
        </w:tc>
        <w:tc>
          <w:tcPr>
            <w:tcW w:w="0" w:type="auto"/>
          </w:tcPr>
          <w:p w14:paraId="7D75964C" w14:textId="77777777" w:rsidR="009B1AE8" w:rsidRPr="00F32E69" w:rsidRDefault="009B1AE8" w:rsidP="00A314DF">
            <w:pPr>
              <w:pStyle w:val="Compact"/>
              <w:jc w:val="right"/>
            </w:pPr>
            <w:r w:rsidRPr="00F32E69">
              <w:t>0.189</w:t>
            </w:r>
          </w:p>
        </w:tc>
        <w:tc>
          <w:tcPr>
            <w:tcW w:w="0" w:type="auto"/>
          </w:tcPr>
          <w:p w14:paraId="2313D287" w14:textId="77777777" w:rsidR="009B1AE8" w:rsidRPr="00F32E69" w:rsidRDefault="009B1AE8" w:rsidP="00A314DF">
            <w:pPr>
              <w:pStyle w:val="Compact"/>
              <w:jc w:val="right"/>
            </w:pPr>
            <w:r w:rsidRPr="00F32E69">
              <w:t>23.8988</w:t>
            </w:r>
          </w:p>
        </w:tc>
        <w:tc>
          <w:tcPr>
            <w:tcW w:w="0" w:type="auto"/>
          </w:tcPr>
          <w:p w14:paraId="4A8054B1" w14:textId="77777777" w:rsidR="009B1AE8" w:rsidRPr="00F32E69" w:rsidRDefault="009B1AE8" w:rsidP="00A314DF">
            <w:pPr>
              <w:pStyle w:val="Compact"/>
              <w:jc w:val="right"/>
            </w:pPr>
            <w:r w:rsidRPr="00F32E69">
              <w:t>0</w:t>
            </w:r>
          </w:p>
        </w:tc>
      </w:tr>
    </w:tbl>
    <w:p w14:paraId="39E1A531" w14:textId="77777777" w:rsidR="009B1AE8" w:rsidRPr="00F32E69" w:rsidRDefault="009B1AE8" w:rsidP="009B1AE8">
      <w:pPr>
        <w:pStyle w:val="BodyText"/>
      </w:pPr>
      <w:r w:rsidRPr="00F32E69">
        <w:rPr>
          <w:i/>
          <w:iCs/>
        </w:rPr>
        <w:t>Model diagnostics: Log-likelihood = -154.46; AIC = 310.92; BIC = 312.95</w:t>
      </w:r>
    </w:p>
    <w:p w14:paraId="208B0A71" w14:textId="77777777" w:rsidR="009B1AE8" w:rsidRPr="00F32E69" w:rsidRDefault="009B1AE8" w:rsidP="009B1AE8">
      <w:r w:rsidRPr="00F32E69">
        <w:br w:type="page"/>
      </w:r>
    </w:p>
    <w:p w14:paraId="111C4907" w14:textId="77777777" w:rsidR="009B1AE8" w:rsidRPr="00F32E69" w:rsidRDefault="009B1AE8" w:rsidP="009B1AE8">
      <w:pPr>
        <w:pStyle w:val="Heading4"/>
        <w:rPr>
          <w:color w:val="auto"/>
        </w:rPr>
      </w:pPr>
      <w:r w:rsidRPr="00F32E69">
        <w:rPr>
          <w:color w:val="auto"/>
        </w:rPr>
        <w:lastRenderedPageBreak/>
        <w:t>Weibull</w:t>
      </w:r>
    </w:p>
    <w:p w14:paraId="5923EFB7" w14:textId="071917D5" w:rsidR="00250FED" w:rsidRPr="00F32E69" w:rsidRDefault="00250FED" w:rsidP="00867597">
      <w:pPr>
        <w:pStyle w:val="BodyText"/>
        <w:rPr>
          <w:b/>
          <w:iCs/>
        </w:rPr>
      </w:pPr>
      <w:r w:rsidRPr="00F32E69">
        <w:rPr>
          <w:b/>
          <w:bCs/>
          <w:i/>
          <w:iCs/>
        </w:rPr>
        <w:t xml:space="preserve">Cohort 2 Figure 3: Kaplan-Meier plot with Weibull fit </w:t>
      </w:r>
      <w:r w:rsidRPr="00F32E69">
        <w:rPr>
          <w:rFonts w:ascii="Cambria" w:eastAsia="Cambria" w:hAnsi="Cambria" w:cs="Cambria"/>
          <w:b/>
          <w:bCs/>
          <w:i/>
          <w:iCs/>
        </w:rPr>
        <w:t xml:space="preserve">of </w:t>
      </w:r>
      <w:r w:rsidR="00C304F4" w:rsidRPr="00F32E69">
        <w:rPr>
          <w:b/>
          <w:bCs/>
          <w:i/>
          <w:iCs/>
        </w:rPr>
        <w:t xml:space="preserve">overall survival </w:t>
      </w:r>
      <w:r w:rsidR="00C304F4" w:rsidRPr="00F32E69">
        <w:rPr>
          <w:rFonts w:ascii="Cambria" w:eastAsia="Cambria" w:hAnsi="Cambria" w:cs="Cambria"/>
          <w:b/>
          <w:bCs/>
          <w:i/>
          <w:iCs/>
        </w:rPr>
        <w:t xml:space="preserve">amongst patients who have received </w:t>
      </w:r>
      <w:r w:rsidRPr="00F32E69">
        <w:rPr>
          <w:b/>
          <w:bCs/>
          <w:i/>
          <w:iCs/>
        </w:rPr>
        <w:t>blinatumomab</w:t>
      </w:r>
    </w:p>
    <w:tbl>
      <w:tblPr>
        <w:tblStyle w:val="Table"/>
        <w:tblW w:w="5000" w:type="pct"/>
        <w:tblLook w:val="0000" w:firstRow="0" w:lastRow="0" w:firstColumn="0" w:lastColumn="0" w:noHBand="0" w:noVBand="0"/>
      </w:tblPr>
      <w:tblGrid>
        <w:gridCol w:w="9360"/>
      </w:tblGrid>
      <w:tr w:rsidR="00F32E69" w:rsidRPr="00F32E69" w14:paraId="566BD667" w14:textId="77777777" w:rsidTr="00A314DF">
        <w:tc>
          <w:tcPr>
            <w:tcW w:w="0" w:type="auto"/>
          </w:tcPr>
          <w:p w14:paraId="052A38F6" w14:textId="77777777" w:rsidR="009B1AE8" w:rsidRPr="00F32E69" w:rsidRDefault="009B1AE8" w:rsidP="00A314DF">
            <w:pPr>
              <w:jc w:val="center"/>
            </w:pPr>
            <w:r w:rsidRPr="00F32E69">
              <w:rPr>
                <w:noProof/>
              </w:rPr>
              <w:drawing>
                <wp:inline distT="0" distB="0" distL="0" distR="0" wp14:anchorId="5D3E4E5E" wp14:editId="29D63784">
                  <wp:extent cx="4620126" cy="3696101"/>
                  <wp:effectExtent l="0" t="0" r="0" b="0"/>
                  <wp:docPr id="38" name="Picture" descr="A Kaplan-Meier plot showing overall survival over time for individuals who have received blinatumomab, with an overlaid Weibull model fit. "/>
                  <wp:cNvGraphicFramePr/>
                  <a:graphic xmlns:a="http://schemas.openxmlformats.org/drawingml/2006/main">
                    <a:graphicData uri="http://schemas.openxmlformats.org/drawingml/2006/picture">
                      <pic:pic xmlns:pic="http://schemas.openxmlformats.org/drawingml/2006/picture">
                        <pic:nvPicPr>
                          <pic:cNvPr id="38" name="Picture" descr="A Kaplan-Meier plot showing overall survival over time for individuals who have received blinatumomab, with an overlaid Weibull model fit. "/>
                          <pic:cNvPicPr>
                            <a:picLocks noChangeAspect="1" noChangeArrowheads="1"/>
                          </pic:cNvPicPr>
                        </pic:nvPicPr>
                        <pic:blipFill>
                          <a:blip r:embed="rId22"/>
                          <a:stretch>
                            <a:fillRect/>
                          </a:stretch>
                        </pic:blipFill>
                        <pic:spPr bwMode="auto">
                          <a:xfrm>
                            <a:off x="0" y="0"/>
                            <a:ext cx="4620126" cy="3696101"/>
                          </a:xfrm>
                          <a:prstGeom prst="rect">
                            <a:avLst/>
                          </a:prstGeom>
                          <a:noFill/>
                          <a:ln w="9525">
                            <a:noFill/>
                            <a:headEnd/>
                            <a:tailEnd/>
                          </a:ln>
                        </pic:spPr>
                      </pic:pic>
                    </a:graphicData>
                  </a:graphic>
                </wp:inline>
              </w:drawing>
            </w:r>
          </w:p>
          <w:p w14:paraId="3FD7D74F" w14:textId="1A59418C" w:rsidR="009B1AE8" w:rsidRPr="00F32E69" w:rsidRDefault="009B1AE8" w:rsidP="00A314DF">
            <w:pPr>
              <w:pStyle w:val="ImageCaption"/>
              <w:spacing w:before="200"/>
            </w:pPr>
          </w:p>
        </w:tc>
      </w:tr>
    </w:tbl>
    <w:p w14:paraId="020D0C0E" w14:textId="77777777" w:rsidR="009B1AE8" w:rsidRPr="00F32E69" w:rsidRDefault="009B1AE8" w:rsidP="009B1AE8">
      <w:pPr>
        <w:pStyle w:val="BodyText"/>
      </w:pPr>
      <w:r w:rsidRPr="00F32E69">
        <w:t> </w:t>
      </w:r>
    </w:p>
    <w:p w14:paraId="4994385F" w14:textId="6D345260" w:rsidR="009B1AE8" w:rsidRPr="00F32E69" w:rsidRDefault="00250FED" w:rsidP="009B1AE8">
      <w:pPr>
        <w:pStyle w:val="TableCaption"/>
      </w:pPr>
      <w:r w:rsidRPr="00F32E69">
        <w:t xml:space="preserve">Cohort 2 </w:t>
      </w:r>
      <w:r w:rsidR="009B1AE8" w:rsidRPr="00F32E69">
        <w:t>Table </w:t>
      </w:r>
      <w:r w:rsidR="00E840D7" w:rsidRPr="00F32E69">
        <w:t>3</w:t>
      </w:r>
      <w:r w:rsidR="009B1AE8" w:rsidRPr="00F32E69">
        <w:t>: Parameter estimates for Weibull survival model</w:t>
      </w:r>
    </w:p>
    <w:tbl>
      <w:tblPr>
        <w:tblStyle w:val="Table"/>
        <w:tblW w:w="0" w:type="auto"/>
        <w:tblLook w:val="0020" w:firstRow="1" w:lastRow="0" w:firstColumn="0" w:lastColumn="0" w:noHBand="0" w:noVBand="0"/>
        <w:tblCaption w:val="Table 2: Parameter estimates for Weibull survival model"/>
      </w:tblPr>
      <w:tblGrid>
        <w:gridCol w:w="1347"/>
        <w:gridCol w:w="1121"/>
        <w:gridCol w:w="1215"/>
        <w:gridCol w:w="1063"/>
        <w:gridCol w:w="983"/>
      </w:tblGrid>
      <w:tr w:rsidR="00F32E69" w:rsidRPr="00F32E69" w14:paraId="509C58D5" w14:textId="77777777" w:rsidTr="00A314DF">
        <w:trPr>
          <w:cnfStyle w:val="100000000000" w:firstRow="1" w:lastRow="0" w:firstColumn="0" w:lastColumn="0" w:oddVBand="0" w:evenVBand="0" w:oddHBand="0" w:evenHBand="0" w:firstRowFirstColumn="0" w:firstRowLastColumn="0" w:lastRowFirstColumn="0" w:lastRowLastColumn="0"/>
          <w:tblHeader/>
        </w:trPr>
        <w:tc>
          <w:tcPr>
            <w:tcW w:w="0" w:type="auto"/>
          </w:tcPr>
          <w:p w14:paraId="564372B3" w14:textId="77777777" w:rsidR="009B1AE8" w:rsidRPr="00F32E69" w:rsidRDefault="009B1AE8" w:rsidP="00A314DF">
            <w:pPr>
              <w:pStyle w:val="Compact"/>
            </w:pPr>
            <w:r w:rsidRPr="00F32E69">
              <w:t>Variable</w:t>
            </w:r>
          </w:p>
        </w:tc>
        <w:tc>
          <w:tcPr>
            <w:tcW w:w="0" w:type="auto"/>
          </w:tcPr>
          <w:p w14:paraId="749413DE" w14:textId="77777777" w:rsidR="009B1AE8" w:rsidRPr="00F32E69" w:rsidRDefault="009B1AE8" w:rsidP="00A314DF">
            <w:pPr>
              <w:pStyle w:val="Compact"/>
              <w:jc w:val="right"/>
            </w:pPr>
            <w:r w:rsidRPr="00F32E69">
              <w:t>Estimate</w:t>
            </w:r>
          </w:p>
        </w:tc>
        <w:tc>
          <w:tcPr>
            <w:tcW w:w="0" w:type="auto"/>
          </w:tcPr>
          <w:p w14:paraId="6FCB197E" w14:textId="77777777" w:rsidR="009B1AE8" w:rsidRPr="00F32E69" w:rsidRDefault="009B1AE8" w:rsidP="00A314DF">
            <w:pPr>
              <w:pStyle w:val="Compact"/>
              <w:jc w:val="right"/>
            </w:pPr>
            <w:r w:rsidRPr="00F32E69">
              <w:t>Std. Error</w:t>
            </w:r>
          </w:p>
        </w:tc>
        <w:tc>
          <w:tcPr>
            <w:tcW w:w="0" w:type="auto"/>
          </w:tcPr>
          <w:p w14:paraId="5D9DDBB3" w14:textId="77777777" w:rsidR="009B1AE8" w:rsidRPr="00F32E69" w:rsidRDefault="009B1AE8" w:rsidP="00A314DF">
            <w:pPr>
              <w:pStyle w:val="Compact"/>
              <w:jc w:val="right"/>
            </w:pPr>
            <w:r w:rsidRPr="00F32E69">
              <w:t>z</w:t>
            </w:r>
          </w:p>
        </w:tc>
        <w:tc>
          <w:tcPr>
            <w:tcW w:w="0" w:type="auto"/>
          </w:tcPr>
          <w:p w14:paraId="0C0255A5" w14:textId="77777777" w:rsidR="009B1AE8" w:rsidRPr="00F32E69" w:rsidRDefault="009B1AE8" w:rsidP="00A314DF">
            <w:pPr>
              <w:pStyle w:val="Compact"/>
              <w:jc w:val="right"/>
            </w:pPr>
            <w:r w:rsidRPr="00F32E69">
              <w:t>p-value</w:t>
            </w:r>
          </w:p>
        </w:tc>
      </w:tr>
      <w:tr w:rsidR="00F32E69" w:rsidRPr="00F32E69" w14:paraId="4EF24000" w14:textId="77777777" w:rsidTr="00A314DF">
        <w:tc>
          <w:tcPr>
            <w:tcW w:w="0" w:type="auto"/>
          </w:tcPr>
          <w:p w14:paraId="1908BE92" w14:textId="77777777" w:rsidR="009B1AE8" w:rsidRPr="00F32E69" w:rsidRDefault="009B1AE8" w:rsidP="00A314DF">
            <w:pPr>
              <w:pStyle w:val="Compact"/>
            </w:pPr>
            <w:r w:rsidRPr="00F32E69">
              <w:t>(Intercept)</w:t>
            </w:r>
          </w:p>
        </w:tc>
        <w:tc>
          <w:tcPr>
            <w:tcW w:w="0" w:type="auto"/>
          </w:tcPr>
          <w:p w14:paraId="7F839CAF" w14:textId="77777777" w:rsidR="009B1AE8" w:rsidRPr="00F32E69" w:rsidRDefault="009B1AE8" w:rsidP="00A314DF">
            <w:pPr>
              <w:pStyle w:val="Compact"/>
              <w:jc w:val="right"/>
            </w:pPr>
            <w:r w:rsidRPr="00F32E69">
              <w:t>4.7969</w:t>
            </w:r>
          </w:p>
        </w:tc>
        <w:tc>
          <w:tcPr>
            <w:tcW w:w="0" w:type="auto"/>
          </w:tcPr>
          <w:p w14:paraId="771EE7DF" w14:textId="77777777" w:rsidR="009B1AE8" w:rsidRPr="00F32E69" w:rsidRDefault="009B1AE8" w:rsidP="00A314DF">
            <w:pPr>
              <w:pStyle w:val="Compact"/>
              <w:jc w:val="right"/>
            </w:pPr>
            <w:r w:rsidRPr="00F32E69">
              <w:t>0.3347</w:t>
            </w:r>
          </w:p>
        </w:tc>
        <w:tc>
          <w:tcPr>
            <w:tcW w:w="0" w:type="auto"/>
          </w:tcPr>
          <w:p w14:paraId="77B2516A" w14:textId="77777777" w:rsidR="009B1AE8" w:rsidRPr="00F32E69" w:rsidRDefault="009B1AE8" w:rsidP="00A314DF">
            <w:pPr>
              <w:pStyle w:val="Compact"/>
              <w:jc w:val="right"/>
            </w:pPr>
            <w:r w:rsidRPr="00F32E69">
              <w:t>14.3306</w:t>
            </w:r>
          </w:p>
        </w:tc>
        <w:tc>
          <w:tcPr>
            <w:tcW w:w="0" w:type="auto"/>
          </w:tcPr>
          <w:p w14:paraId="0EEA5602" w14:textId="77777777" w:rsidR="009B1AE8" w:rsidRPr="00F32E69" w:rsidRDefault="009B1AE8" w:rsidP="00A314DF">
            <w:pPr>
              <w:pStyle w:val="Compact"/>
              <w:jc w:val="right"/>
            </w:pPr>
            <w:r w:rsidRPr="00F32E69">
              <w:t>0.0000</w:t>
            </w:r>
          </w:p>
        </w:tc>
      </w:tr>
      <w:tr w:rsidR="00F32E69" w:rsidRPr="00F32E69" w14:paraId="7EFB5F07" w14:textId="77777777" w:rsidTr="00A314DF">
        <w:tc>
          <w:tcPr>
            <w:tcW w:w="0" w:type="auto"/>
          </w:tcPr>
          <w:p w14:paraId="3E8E1F76" w14:textId="77777777" w:rsidR="009B1AE8" w:rsidRPr="00F32E69" w:rsidRDefault="009B1AE8" w:rsidP="00A314DF">
            <w:pPr>
              <w:pStyle w:val="Compact"/>
            </w:pPr>
            <w:r w:rsidRPr="00F32E69">
              <w:t>Log(scale)</w:t>
            </w:r>
          </w:p>
        </w:tc>
        <w:tc>
          <w:tcPr>
            <w:tcW w:w="0" w:type="auto"/>
          </w:tcPr>
          <w:p w14:paraId="6D59B513" w14:textId="77777777" w:rsidR="009B1AE8" w:rsidRPr="00F32E69" w:rsidRDefault="009B1AE8" w:rsidP="00A314DF">
            <w:pPr>
              <w:pStyle w:val="Compact"/>
              <w:jc w:val="right"/>
            </w:pPr>
            <w:r w:rsidRPr="00F32E69">
              <w:t>0.4709</w:t>
            </w:r>
          </w:p>
        </w:tc>
        <w:tc>
          <w:tcPr>
            <w:tcW w:w="0" w:type="auto"/>
          </w:tcPr>
          <w:p w14:paraId="2584977C" w14:textId="77777777" w:rsidR="009B1AE8" w:rsidRPr="00F32E69" w:rsidRDefault="009B1AE8" w:rsidP="00A314DF">
            <w:pPr>
              <w:pStyle w:val="Compact"/>
              <w:jc w:val="right"/>
            </w:pPr>
            <w:r w:rsidRPr="00F32E69">
              <w:t>0.1696</w:t>
            </w:r>
          </w:p>
        </w:tc>
        <w:tc>
          <w:tcPr>
            <w:tcW w:w="0" w:type="auto"/>
          </w:tcPr>
          <w:p w14:paraId="6AB43401" w14:textId="77777777" w:rsidR="009B1AE8" w:rsidRPr="00F32E69" w:rsidRDefault="009B1AE8" w:rsidP="00A314DF">
            <w:pPr>
              <w:pStyle w:val="Compact"/>
              <w:jc w:val="right"/>
            </w:pPr>
            <w:r w:rsidRPr="00F32E69">
              <w:t>2.7769</w:t>
            </w:r>
          </w:p>
        </w:tc>
        <w:tc>
          <w:tcPr>
            <w:tcW w:w="0" w:type="auto"/>
          </w:tcPr>
          <w:p w14:paraId="1E3C00E7" w14:textId="77777777" w:rsidR="009B1AE8" w:rsidRPr="00F32E69" w:rsidRDefault="009B1AE8" w:rsidP="00A314DF">
            <w:pPr>
              <w:pStyle w:val="Compact"/>
              <w:jc w:val="right"/>
            </w:pPr>
            <w:r w:rsidRPr="00F32E69">
              <w:t>0.0055</w:t>
            </w:r>
          </w:p>
        </w:tc>
      </w:tr>
    </w:tbl>
    <w:p w14:paraId="0C7989D4" w14:textId="77777777" w:rsidR="009B1AE8" w:rsidRPr="00F32E69" w:rsidRDefault="009B1AE8" w:rsidP="009B1AE8">
      <w:pPr>
        <w:pStyle w:val="BodyText"/>
      </w:pPr>
      <w:r w:rsidRPr="00F32E69">
        <w:rPr>
          <w:i/>
          <w:iCs/>
        </w:rPr>
        <w:t>Model diagnostics: Log-likelihood = -149.79; AIC = 303.58; BIC = 307.63</w:t>
      </w:r>
    </w:p>
    <w:p w14:paraId="2DA94E47" w14:textId="77777777" w:rsidR="009B1AE8" w:rsidRPr="00F32E69" w:rsidRDefault="009B1AE8" w:rsidP="009B1AE8">
      <w:r w:rsidRPr="00F32E69">
        <w:br w:type="page"/>
      </w:r>
    </w:p>
    <w:p w14:paraId="532CBF7A" w14:textId="77777777" w:rsidR="009B1AE8" w:rsidRPr="00F32E69" w:rsidRDefault="009B1AE8" w:rsidP="009B1AE8">
      <w:pPr>
        <w:pStyle w:val="Heading4"/>
        <w:rPr>
          <w:color w:val="auto"/>
        </w:rPr>
      </w:pPr>
      <w:r w:rsidRPr="00F32E69">
        <w:rPr>
          <w:color w:val="auto"/>
        </w:rPr>
        <w:lastRenderedPageBreak/>
        <w:t>Log-Normal</w:t>
      </w:r>
    </w:p>
    <w:p w14:paraId="58083D4C" w14:textId="5E1BA2F9" w:rsidR="00250FED" w:rsidRPr="00F32E69" w:rsidRDefault="00250FED" w:rsidP="00867597">
      <w:pPr>
        <w:pStyle w:val="BodyText"/>
      </w:pPr>
      <w:r w:rsidRPr="00F32E69">
        <w:rPr>
          <w:b/>
          <w:bCs/>
          <w:i/>
          <w:iCs/>
        </w:rPr>
        <w:t>Cohort 2 Figure 4: Kaplan-Meier plot with Log-Normal fit</w:t>
      </w:r>
      <w:r w:rsidRPr="00F32E69">
        <w:t xml:space="preserve"> </w:t>
      </w:r>
      <w:r w:rsidR="00C304F4" w:rsidRPr="00F32E69">
        <w:rPr>
          <w:b/>
          <w:bCs/>
          <w:i/>
          <w:iCs/>
        </w:rPr>
        <w:t xml:space="preserve">of overall survival </w:t>
      </w:r>
      <w:r w:rsidR="00C304F4" w:rsidRPr="00F32E69">
        <w:rPr>
          <w:rFonts w:ascii="Cambria" w:eastAsia="Cambria" w:hAnsi="Cambria" w:cs="Cambria"/>
          <w:b/>
          <w:bCs/>
          <w:i/>
          <w:iCs/>
        </w:rPr>
        <w:t xml:space="preserve">amongst patients who have received </w:t>
      </w:r>
      <w:r w:rsidRPr="00F32E69">
        <w:rPr>
          <w:b/>
          <w:bCs/>
          <w:i/>
          <w:iCs/>
        </w:rPr>
        <w:t>blinatumomab</w:t>
      </w:r>
    </w:p>
    <w:tbl>
      <w:tblPr>
        <w:tblStyle w:val="Table"/>
        <w:tblW w:w="5000" w:type="pct"/>
        <w:tblLook w:val="0000" w:firstRow="0" w:lastRow="0" w:firstColumn="0" w:lastColumn="0" w:noHBand="0" w:noVBand="0"/>
      </w:tblPr>
      <w:tblGrid>
        <w:gridCol w:w="9360"/>
      </w:tblGrid>
      <w:tr w:rsidR="00F32E69" w:rsidRPr="00F32E69" w14:paraId="0AB9A739" w14:textId="77777777" w:rsidTr="00A314DF">
        <w:tc>
          <w:tcPr>
            <w:tcW w:w="0" w:type="auto"/>
          </w:tcPr>
          <w:p w14:paraId="76BA824F" w14:textId="77777777" w:rsidR="009B1AE8" w:rsidRPr="00F32E69" w:rsidRDefault="009B1AE8" w:rsidP="00A314DF">
            <w:pPr>
              <w:jc w:val="center"/>
            </w:pPr>
            <w:r w:rsidRPr="00F32E69">
              <w:rPr>
                <w:noProof/>
              </w:rPr>
              <w:drawing>
                <wp:inline distT="0" distB="0" distL="0" distR="0" wp14:anchorId="5DC28C61" wp14:editId="35E0C92E">
                  <wp:extent cx="4620126" cy="3696101"/>
                  <wp:effectExtent l="0" t="0" r="0" b="0"/>
                  <wp:docPr id="44" name="Picture" descr="A Kaplan-Meier plot showing overall survival over time for individuals who have received blinatumomab, with an overlaid log-normal model fit. "/>
                  <wp:cNvGraphicFramePr/>
                  <a:graphic xmlns:a="http://schemas.openxmlformats.org/drawingml/2006/main">
                    <a:graphicData uri="http://schemas.openxmlformats.org/drawingml/2006/picture">
                      <pic:pic xmlns:pic="http://schemas.openxmlformats.org/drawingml/2006/picture">
                        <pic:nvPicPr>
                          <pic:cNvPr id="44" name="Picture" descr="A Kaplan-Meier plot showing overall survival over time for individuals who have received blinatumomab, with an overlaid log-normal model fit. "/>
                          <pic:cNvPicPr>
                            <a:picLocks noChangeAspect="1" noChangeArrowheads="1"/>
                          </pic:cNvPicPr>
                        </pic:nvPicPr>
                        <pic:blipFill>
                          <a:blip r:embed="rId23"/>
                          <a:stretch>
                            <a:fillRect/>
                          </a:stretch>
                        </pic:blipFill>
                        <pic:spPr bwMode="auto">
                          <a:xfrm>
                            <a:off x="0" y="0"/>
                            <a:ext cx="4620126" cy="3696101"/>
                          </a:xfrm>
                          <a:prstGeom prst="rect">
                            <a:avLst/>
                          </a:prstGeom>
                          <a:noFill/>
                          <a:ln w="9525">
                            <a:noFill/>
                            <a:headEnd/>
                            <a:tailEnd/>
                          </a:ln>
                        </pic:spPr>
                      </pic:pic>
                    </a:graphicData>
                  </a:graphic>
                </wp:inline>
              </w:drawing>
            </w:r>
          </w:p>
          <w:p w14:paraId="6C260C7A" w14:textId="0B4927C3" w:rsidR="009B1AE8" w:rsidRPr="00F32E69" w:rsidRDefault="009B1AE8" w:rsidP="00A314DF">
            <w:pPr>
              <w:pStyle w:val="ImageCaption"/>
              <w:spacing w:before="200"/>
            </w:pPr>
          </w:p>
        </w:tc>
      </w:tr>
    </w:tbl>
    <w:p w14:paraId="0F50F5C6" w14:textId="77777777" w:rsidR="009B1AE8" w:rsidRPr="00F32E69" w:rsidRDefault="009B1AE8" w:rsidP="009B1AE8">
      <w:pPr>
        <w:pStyle w:val="BodyText"/>
      </w:pPr>
      <w:r w:rsidRPr="00F32E69">
        <w:t> </w:t>
      </w:r>
    </w:p>
    <w:p w14:paraId="2FF16C05" w14:textId="1087131F" w:rsidR="009B1AE8" w:rsidRPr="00F32E69" w:rsidRDefault="00250FED" w:rsidP="009B1AE8">
      <w:pPr>
        <w:pStyle w:val="TableCaption"/>
      </w:pPr>
      <w:r w:rsidRPr="00F32E69">
        <w:t xml:space="preserve">Cohort 2 </w:t>
      </w:r>
      <w:r w:rsidR="009B1AE8" w:rsidRPr="00F32E69">
        <w:t>Table </w:t>
      </w:r>
      <w:r w:rsidR="00E840D7" w:rsidRPr="00F32E69">
        <w:t>4</w:t>
      </w:r>
      <w:r w:rsidR="009B1AE8" w:rsidRPr="00F32E69">
        <w:t>: Parameter estimates for Log-Normal survival model</w:t>
      </w:r>
    </w:p>
    <w:tbl>
      <w:tblPr>
        <w:tblStyle w:val="Table"/>
        <w:tblW w:w="0" w:type="auto"/>
        <w:tblLook w:val="0020" w:firstRow="1" w:lastRow="0" w:firstColumn="0" w:lastColumn="0" w:noHBand="0" w:noVBand="0"/>
        <w:tblCaption w:val="Table 3: Parameter estimates for Log-Normal survival model"/>
      </w:tblPr>
      <w:tblGrid>
        <w:gridCol w:w="1347"/>
        <w:gridCol w:w="1121"/>
        <w:gridCol w:w="1215"/>
        <w:gridCol w:w="1063"/>
        <w:gridCol w:w="983"/>
      </w:tblGrid>
      <w:tr w:rsidR="00F32E69" w:rsidRPr="00F32E69" w14:paraId="74524A57" w14:textId="77777777" w:rsidTr="00A314DF">
        <w:trPr>
          <w:cnfStyle w:val="100000000000" w:firstRow="1" w:lastRow="0" w:firstColumn="0" w:lastColumn="0" w:oddVBand="0" w:evenVBand="0" w:oddHBand="0" w:evenHBand="0" w:firstRowFirstColumn="0" w:firstRowLastColumn="0" w:lastRowFirstColumn="0" w:lastRowLastColumn="0"/>
          <w:tblHeader/>
        </w:trPr>
        <w:tc>
          <w:tcPr>
            <w:tcW w:w="0" w:type="auto"/>
          </w:tcPr>
          <w:p w14:paraId="5BC9D368" w14:textId="77777777" w:rsidR="009B1AE8" w:rsidRPr="00F32E69" w:rsidRDefault="009B1AE8" w:rsidP="00A314DF">
            <w:pPr>
              <w:pStyle w:val="Compact"/>
            </w:pPr>
            <w:r w:rsidRPr="00F32E69">
              <w:t>Variable</w:t>
            </w:r>
          </w:p>
        </w:tc>
        <w:tc>
          <w:tcPr>
            <w:tcW w:w="0" w:type="auto"/>
          </w:tcPr>
          <w:p w14:paraId="68C02395" w14:textId="77777777" w:rsidR="009B1AE8" w:rsidRPr="00F32E69" w:rsidRDefault="009B1AE8" w:rsidP="00A314DF">
            <w:pPr>
              <w:pStyle w:val="Compact"/>
              <w:jc w:val="right"/>
            </w:pPr>
            <w:r w:rsidRPr="00F32E69">
              <w:t>Estimate</w:t>
            </w:r>
          </w:p>
        </w:tc>
        <w:tc>
          <w:tcPr>
            <w:tcW w:w="0" w:type="auto"/>
          </w:tcPr>
          <w:p w14:paraId="2E21ED10" w14:textId="77777777" w:rsidR="009B1AE8" w:rsidRPr="00F32E69" w:rsidRDefault="009B1AE8" w:rsidP="00A314DF">
            <w:pPr>
              <w:pStyle w:val="Compact"/>
              <w:jc w:val="right"/>
            </w:pPr>
            <w:r w:rsidRPr="00F32E69">
              <w:t>Std. Error</w:t>
            </w:r>
          </w:p>
        </w:tc>
        <w:tc>
          <w:tcPr>
            <w:tcW w:w="0" w:type="auto"/>
          </w:tcPr>
          <w:p w14:paraId="669041CC" w14:textId="77777777" w:rsidR="009B1AE8" w:rsidRPr="00F32E69" w:rsidRDefault="009B1AE8" w:rsidP="00A314DF">
            <w:pPr>
              <w:pStyle w:val="Compact"/>
              <w:jc w:val="right"/>
            </w:pPr>
            <w:r w:rsidRPr="00F32E69">
              <w:t>z</w:t>
            </w:r>
          </w:p>
        </w:tc>
        <w:tc>
          <w:tcPr>
            <w:tcW w:w="0" w:type="auto"/>
          </w:tcPr>
          <w:p w14:paraId="473917C9" w14:textId="77777777" w:rsidR="009B1AE8" w:rsidRPr="00F32E69" w:rsidRDefault="009B1AE8" w:rsidP="00A314DF">
            <w:pPr>
              <w:pStyle w:val="Compact"/>
              <w:jc w:val="right"/>
            </w:pPr>
            <w:r w:rsidRPr="00F32E69">
              <w:t>p-value</w:t>
            </w:r>
          </w:p>
        </w:tc>
      </w:tr>
      <w:tr w:rsidR="00F32E69" w:rsidRPr="00F32E69" w14:paraId="44A17C7C" w14:textId="77777777" w:rsidTr="00A314DF">
        <w:tc>
          <w:tcPr>
            <w:tcW w:w="0" w:type="auto"/>
          </w:tcPr>
          <w:p w14:paraId="13FAE105" w14:textId="77777777" w:rsidR="009B1AE8" w:rsidRPr="00F32E69" w:rsidRDefault="009B1AE8" w:rsidP="00A314DF">
            <w:pPr>
              <w:pStyle w:val="Compact"/>
            </w:pPr>
            <w:r w:rsidRPr="00F32E69">
              <w:t>(Intercept)</w:t>
            </w:r>
          </w:p>
        </w:tc>
        <w:tc>
          <w:tcPr>
            <w:tcW w:w="0" w:type="auto"/>
          </w:tcPr>
          <w:p w14:paraId="1A974892" w14:textId="77777777" w:rsidR="009B1AE8" w:rsidRPr="00F32E69" w:rsidRDefault="009B1AE8" w:rsidP="00A314DF">
            <w:pPr>
              <w:pStyle w:val="Compact"/>
              <w:jc w:val="right"/>
            </w:pPr>
            <w:r w:rsidRPr="00F32E69">
              <w:t>4.1395</w:t>
            </w:r>
          </w:p>
        </w:tc>
        <w:tc>
          <w:tcPr>
            <w:tcW w:w="0" w:type="auto"/>
          </w:tcPr>
          <w:p w14:paraId="38C7D504" w14:textId="77777777" w:rsidR="009B1AE8" w:rsidRPr="00F32E69" w:rsidRDefault="009B1AE8" w:rsidP="00A314DF">
            <w:pPr>
              <w:pStyle w:val="Compact"/>
              <w:jc w:val="right"/>
            </w:pPr>
            <w:r w:rsidRPr="00F32E69">
              <w:t>0.3429</w:t>
            </w:r>
          </w:p>
        </w:tc>
        <w:tc>
          <w:tcPr>
            <w:tcW w:w="0" w:type="auto"/>
          </w:tcPr>
          <w:p w14:paraId="6543DB55" w14:textId="77777777" w:rsidR="009B1AE8" w:rsidRPr="00F32E69" w:rsidRDefault="009B1AE8" w:rsidP="00A314DF">
            <w:pPr>
              <w:pStyle w:val="Compact"/>
              <w:jc w:val="right"/>
            </w:pPr>
            <w:r w:rsidRPr="00F32E69">
              <w:t>12.0716</w:t>
            </w:r>
          </w:p>
        </w:tc>
        <w:tc>
          <w:tcPr>
            <w:tcW w:w="0" w:type="auto"/>
          </w:tcPr>
          <w:p w14:paraId="774246C2" w14:textId="77777777" w:rsidR="009B1AE8" w:rsidRPr="00F32E69" w:rsidRDefault="009B1AE8" w:rsidP="00A314DF">
            <w:pPr>
              <w:pStyle w:val="Compact"/>
              <w:jc w:val="right"/>
            </w:pPr>
            <w:r w:rsidRPr="00F32E69">
              <w:t>0</w:t>
            </w:r>
          </w:p>
        </w:tc>
      </w:tr>
      <w:tr w:rsidR="00F32E69" w:rsidRPr="00F32E69" w14:paraId="34D93014" w14:textId="77777777" w:rsidTr="00A314DF">
        <w:tc>
          <w:tcPr>
            <w:tcW w:w="0" w:type="auto"/>
          </w:tcPr>
          <w:p w14:paraId="02316C34" w14:textId="77777777" w:rsidR="009B1AE8" w:rsidRPr="00F32E69" w:rsidRDefault="009B1AE8" w:rsidP="00A314DF">
            <w:pPr>
              <w:pStyle w:val="Compact"/>
            </w:pPr>
            <w:r w:rsidRPr="00F32E69">
              <w:t>Log(scale)</w:t>
            </w:r>
          </w:p>
        </w:tc>
        <w:tc>
          <w:tcPr>
            <w:tcW w:w="0" w:type="auto"/>
          </w:tcPr>
          <w:p w14:paraId="3D10C17C" w14:textId="77777777" w:rsidR="009B1AE8" w:rsidRPr="00F32E69" w:rsidRDefault="009B1AE8" w:rsidP="00A314DF">
            <w:pPr>
              <w:pStyle w:val="Compact"/>
              <w:jc w:val="right"/>
            </w:pPr>
            <w:r w:rsidRPr="00F32E69">
              <w:t>0.7370</w:t>
            </w:r>
          </w:p>
        </w:tc>
        <w:tc>
          <w:tcPr>
            <w:tcW w:w="0" w:type="auto"/>
          </w:tcPr>
          <w:p w14:paraId="46DB8D89" w14:textId="77777777" w:rsidR="009B1AE8" w:rsidRPr="00F32E69" w:rsidRDefault="009B1AE8" w:rsidP="00A314DF">
            <w:pPr>
              <w:pStyle w:val="Compact"/>
              <w:jc w:val="right"/>
            </w:pPr>
            <w:r w:rsidRPr="00F32E69">
              <w:t>0.1520</w:t>
            </w:r>
          </w:p>
        </w:tc>
        <w:tc>
          <w:tcPr>
            <w:tcW w:w="0" w:type="auto"/>
          </w:tcPr>
          <w:p w14:paraId="6FD1A94B" w14:textId="77777777" w:rsidR="009B1AE8" w:rsidRPr="00F32E69" w:rsidRDefault="009B1AE8" w:rsidP="00A314DF">
            <w:pPr>
              <w:pStyle w:val="Compact"/>
              <w:jc w:val="right"/>
            </w:pPr>
            <w:r w:rsidRPr="00F32E69">
              <w:t>4.8493</w:t>
            </w:r>
          </w:p>
        </w:tc>
        <w:tc>
          <w:tcPr>
            <w:tcW w:w="0" w:type="auto"/>
          </w:tcPr>
          <w:p w14:paraId="59588AFF" w14:textId="77777777" w:rsidR="009B1AE8" w:rsidRPr="00F32E69" w:rsidRDefault="009B1AE8" w:rsidP="00A314DF">
            <w:pPr>
              <w:pStyle w:val="Compact"/>
              <w:jc w:val="right"/>
            </w:pPr>
            <w:r w:rsidRPr="00F32E69">
              <w:t>0</w:t>
            </w:r>
          </w:p>
        </w:tc>
      </w:tr>
    </w:tbl>
    <w:p w14:paraId="0B164822" w14:textId="77777777" w:rsidR="009B1AE8" w:rsidRPr="00F32E69" w:rsidRDefault="009B1AE8" w:rsidP="009B1AE8">
      <w:pPr>
        <w:pStyle w:val="BodyText"/>
      </w:pPr>
      <w:r w:rsidRPr="00F32E69">
        <w:rPr>
          <w:i/>
          <w:iCs/>
        </w:rPr>
        <w:t>Model diagnostics: Log-likelihood = -146.62; AIC = 297.24; BIC = 301.3</w:t>
      </w:r>
    </w:p>
    <w:p w14:paraId="70DA0429" w14:textId="77777777" w:rsidR="009B1AE8" w:rsidRPr="00F32E69" w:rsidRDefault="009B1AE8" w:rsidP="009B1AE8">
      <w:r w:rsidRPr="00F32E69">
        <w:br w:type="page"/>
      </w:r>
    </w:p>
    <w:p w14:paraId="76DE817E" w14:textId="77777777" w:rsidR="009B1AE8" w:rsidRPr="00F32E69" w:rsidRDefault="009B1AE8" w:rsidP="009B1AE8">
      <w:pPr>
        <w:pStyle w:val="Heading4"/>
        <w:rPr>
          <w:color w:val="auto"/>
        </w:rPr>
      </w:pPr>
      <w:r w:rsidRPr="00F32E69">
        <w:rPr>
          <w:color w:val="auto"/>
        </w:rPr>
        <w:lastRenderedPageBreak/>
        <w:t>Log-Logistic</w:t>
      </w:r>
    </w:p>
    <w:p w14:paraId="13A4F0A2" w14:textId="5CF1BED3" w:rsidR="00250FED" w:rsidRPr="00F32E69" w:rsidRDefault="00250FED" w:rsidP="00867597">
      <w:pPr>
        <w:pStyle w:val="BodyText"/>
        <w:rPr>
          <w:b/>
          <w:iCs/>
        </w:rPr>
      </w:pPr>
      <w:r w:rsidRPr="00F32E69">
        <w:rPr>
          <w:b/>
          <w:bCs/>
          <w:i/>
          <w:iCs/>
        </w:rPr>
        <w:t xml:space="preserve">Cohort 2 Figure 5: Kaplan-Meier plot with Log-Logistic </w:t>
      </w:r>
      <w:r w:rsidR="00C304F4" w:rsidRPr="00F32E69">
        <w:rPr>
          <w:b/>
          <w:bCs/>
          <w:i/>
          <w:iCs/>
        </w:rPr>
        <w:t xml:space="preserve">fit of overall survival </w:t>
      </w:r>
      <w:r w:rsidR="00C304F4" w:rsidRPr="00F32E69">
        <w:rPr>
          <w:rFonts w:ascii="Cambria" w:eastAsia="Cambria" w:hAnsi="Cambria" w:cs="Cambria"/>
          <w:b/>
          <w:bCs/>
          <w:i/>
          <w:iCs/>
        </w:rPr>
        <w:t xml:space="preserve">amongst patients who have received </w:t>
      </w:r>
      <w:r w:rsidRPr="00F32E69">
        <w:rPr>
          <w:b/>
          <w:bCs/>
          <w:i/>
          <w:iCs/>
        </w:rPr>
        <w:t>blinatumomab</w:t>
      </w:r>
    </w:p>
    <w:tbl>
      <w:tblPr>
        <w:tblStyle w:val="Table"/>
        <w:tblW w:w="5000" w:type="pct"/>
        <w:tblLook w:val="0000" w:firstRow="0" w:lastRow="0" w:firstColumn="0" w:lastColumn="0" w:noHBand="0" w:noVBand="0"/>
      </w:tblPr>
      <w:tblGrid>
        <w:gridCol w:w="9360"/>
      </w:tblGrid>
      <w:tr w:rsidR="00F32E69" w:rsidRPr="00F32E69" w14:paraId="5CD8F116" w14:textId="77777777" w:rsidTr="00A314DF">
        <w:tc>
          <w:tcPr>
            <w:tcW w:w="0" w:type="auto"/>
          </w:tcPr>
          <w:p w14:paraId="511AAE7E" w14:textId="77777777" w:rsidR="009B1AE8" w:rsidRPr="00F32E69" w:rsidRDefault="009B1AE8" w:rsidP="00A314DF">
            <w:pPr>
              <w:jc w:val="center"/>
            </w:pPr>
            <w:r w:rsidRPr="00F32E69">
              <w:rPr>
                <w:noProof/>
              </w:rPr>
              <w:drawing>
                <wp:inline distT="0" distB="0" distL="0" distR="0" wp14:anchorId="39324408" wp14:editId="1A11DFB3">
                  <wp:extent cx="4620126" cy="3696101"/>
                  <wp:effectExtent l="0" t="0" r="0" b="0"/>
                  <wp:docPr id="50" name="Picture" descr="A Kaplan-Meier plot showing overall survival over time for individuals who have received blinatumomab, with an overlaid log-logistic model fit. "/>
                  <wp:cNvGraphicFramePr/>
                  <a:graphic xmlns:a="http://schemas.openxmlformats.org/drawingml/2006/main">
                    <a:graphicData uri="http://schemas.openxmlformats.org/drawingml/2006/picture">
                      <pic:pic xmlns:pic="http://schemas.openxmlformats.org/drawingml/2006/picture">
                        <pic:nvPicPr>
                          <pic:cNvPr id="50" name="Picture" descr="A Kaplan-Meier plot showing overall survival over time for individuals who have received blinatumomab, with an overlaid log-logistic model fit. "/>
                          <pic:cNvPicPr>
                            <a:picLocks noChangeAspect="1" noChangeArrowheads="1"/>
                          </pic:cNvPicPr>
                        </pic:nvPicPr>
                        <pic:blipFill>
                          <a:blip r:embed="rId24"/>
                          <a:stretch>
                            <a:fillRect/>
                          </a:stretch>
                        </pic:blipFill>
                        <pic:spPr bwMode="auto">
                          <a:xfrm>
                            <a:off x="0" y="0"/>
                            <a:ext cx="4620126" cy="3696101"/>
                          </a:xfrm>
                          <a:prstGeom prst="rect">
                            <a:avLst/>
                          </a:prstGeom>
                          <a:noFill/>
                          <a:ln w="9525">
                            <a:noFill/>
                            <a:headEnd/>
                            <a:tailEnd/>
                          </a:ln>
                        </pic:spPr>
                      </pic:pic>
                    </a:graphicData>
                  </a:graphic>
                </wp:inline>
              </w:drawing>
            </w:r>
          </w:p>
          <w:p w14:paraId="07A4EB06" w14:textId="28F55757" w:rsidR="009B1AE8" w:rsidRPr="00F32E69" w:rsidRDefault="009B1AE8" w:rsidP="00A314DF">
            <w:pPr>
              <w:pStyle w:val="ImageCaption"/>
              <w:spacing w:before="200"/>
            </w:pPr>
          </w:p>
        </w:tc>
      </w:tr>
    </w:tbl>
    <w:p w14:paraId="09A5C3C5" w14:textId="77777777" w:rsidR="009B1AE8" w:rsidRPr="00F32E69" w:rsidRDefault="009B1AE8" w:rsidP="009B1AE8">
      <w:pPr>
        <w:pStyle w:val="BodyText"/>
      </w:pPr>
      <w:r w:rsidRPr="00F32E69">
        <w:t> </w:t>
      </w:r>
    </w:p>
    <w:p w14:paraId="375409D3" w14:textId="67247E98" w:rsidR="009B1AE8" w:rsidRPr="00F32E69" w:rsidRDefault="00250FED" w:rsidP="009B1AE8">
      <w:pPr>
        <w:pStyle w:val="TableCaption"/>
      </w:pPr>
      <w:r w:rsidRPr="00F32E69">
        <w:t xml:space="preserve">Cohort 2 </w:t>
      </w:r>
      <w:r w:rsidR="009B1AE8" w:rsidRPr="00F32E69">
        <w:t>Table </w:t>
      </w:r>
      <w:r w:rsidR="00E840D7" w:rsidRPr="00F32E69">
        <w:t>5</w:t>
      </w:r>
      <w:r w:rsidR="009B1AE8" w:rsidRPr="00F32E69">
        <w:t>: Parameter estimates for Log-Logistic survival model</w:t>
      </w:r>
    </w:p>
    <w:tbl>
      <w:tblPr>
        <w:tblStyle w:val="Table"/>
        <w:tblW w:w="0" w:type="auto"/>
        <w:tblLook w:val="0020" w:firstRow="1" w:lastRow="0" w:firstColumn="0" w:lastColumn="0" w:noHBand="0" w:noVBand="0"/>
        <w:tblCaption w:val="Table 4: Parameter estimates for Log-Logistic survival model"/>
      </w:tblPr>
      <w:tblGrid>
        <w:gridCol w:w="1347"/>
        <w:gridCol w:w="1121"/>
        <w:gridCol w:w="1215"/>
        <w:gridCol w:w="1063"/>
        <w:gridCol w:w="983"/>
      </w:tblGrid>
      <w:tr w:rsidR="00F32E69" w:rsidRPr="00F32E69" w14:paraId="120E3C81" w14:textId="77777777" w:rsidTr="00A314DF">
        <w:trPr>
          <w:cnfStyle w:val="100000000000" w:firstRow="1" w:lastRow="0" w:firstColumn="0" w:lastColumn="0" w:oddVBand="0" w:evenVBand="0" w:oddHBand="0" w:evenHBand="0" w:firstRowFirstColumn="0" w:firstRowLastColumn="0" w:lastRowFirstColumn="0" w:lastRowLastColumn="0"/>
          <w:tblHeader/>
        </w:trPr>
        <w:tc>
          <w:tcPr>
            <w:tcW w:w="0" w:type="auto"/>
          </w:tcPr>
          <w:p w14:paraId="2E09B267" w14:textId="77777777" w:rsidR="009B1AE8" w:rsidRPr="00F32E69" w:rsidRDefault="009B1AE8" w:rsidP="00A314DF">
            <w:pPr>
              <w:pStyle w:val="Compact"/>
            </w:pPr>
            <w:r w:rsidRPr="00F32E69">
              <w:t>Variable</w:t>
            </w:r>
          </w:p>
        </w:tc>
        <w:tc>
          <w:tcPr>
            <w:tcW w:w="0" w:type="auto"/>
          </w:tcPr>
          <w:p w14:paraId="450DEF96" w14:textId="77777777" w:rsidR="009B1AE8" w:rsidRPr="00F32E69" w:rsidRDefault="009B1AE8" w:rsidP="00A314DF">
            <w:pPr>
              <w:pStyle w:val="Compact"/>
              <w:jc w:val="right"/>
            </w:pPr>
            <w:r w:rsidRPr="00F32E69">
              <w:t>Estimate</w:t>
            </w:r>
          </w:p>
        </w:tc>
        <w:tc>
          <w:tcPr>
            <w:tcW w:w="0" w:type="auto"/>
          </w:tcPr>
          <w:p w14:paraId="42AD22FC" w14:textId="77777777" w:rsidR="009B1AE8" w:rsidRPr="00F32E69" w:rsidRDefault="009B1AE8" w:rsidP="00A314DF">
            <w:pPr>
              <w:pStyle w:val="Compact"/>
              <w:jc w:val="right"/>
            </w:pPr>
            <w:r w:rsidRPr="00F32E69">
              <w:t>Std. Error</w:t>
            </w:r>
          </w:p>
        </w:tc>
        <w:tc>
          <w:tcPr>
            <w:tcW w:w="0" w:type="auto"/>
          </w:tcPr>
          <w:p w14:paraId="0724010E" w14:textId="77777777" w:rsidR="009B1AE8" w:rsidRPr="00F32E69" w:rsidRDefault="009B1AE8" w:rsidP="00A314DF">
            <w:pPr>
              <w:pStyle w:val="Compact"/>
              <w:jc w:val="right"/>
            </w:pPr>
            <w:r w:rsidRPr="00F32E69">
              <w:t>z</w:t>
            </w:r>
          </w:p>
        </w:tc>
        <w:tc>
          <w:tcPr>
            <w:tcW w:w="0" w:type="auto"/>
          </w:tcPr>
          <w:p w14:paraId="0B4931F5" w14:textId="77777777" w:rsidR="009B1AE8" w:rsidRPr="00F32E69" w:rsidRDefault="009B1AE8" w:rsidP="00A314DF">
            <w:pPr>
              <w:pStyle w:val="Compact"/>
              <w:jc w:val="right"/>
            </w:pPr>
            <w:r w:rsidRPr="00F32E69">
              <w:t>p-value</w:t>
            </w:r>
          </w:p>
        </w:tc>
      </w:tr>
      <w:tr w:rsidR="00F32E69" w:rsidRPr="00F32E69" w14:paraId="099FAD9C" w14:textId="77777777" w:rsidTr="00A314DF">
        <w:tc>
          <w:tcPr>
            <w:tcW w:w="0" w:type="auto"/>
          </w:tcPr>
          <w:p w14:paraId="4733D2B1" w14:textId="77777777" w:rsidR="009B1AE8" w:rsidRPr="00F32E69" w:rsidRDefault="009B1AE8" w:rsidP="00A314DF">
            <w:pPr>
              <w:pStyle w:val="Compact"/>
            </w:pPr>
            <w:r w:rsidRPr="00F32E69">
              <w:t>(Intercept)</w:t>
            </w:r>
          </w:p>
        </w:tc>
        <w:tc>
          <w:tcPr>
            <w:tcW w:w="0" w:type="auto"/>
          </w:tcPr>
          <w:p w14:paraId="2A26A220" w14:textId="77777777" w:rsidR="009B1AE8" w:rsidRPr="00F32E69" w:rsidRDefault="009B1AE8" w:rsidP="00A314DF">
            <w:pPr>
              <w:pStyle w:val="Compact"/>
              <w:jc w:val="right"/>
            </w:pPr>
            <w:r w:rsidRPr="00F32E69">
              <w:t>4.0854</w:t>
            </w:r>
          </w:p>
        </w:tc>
        <w:tc>
          <w:tcPr>
            <w:tcW w:w="0" w:type="auto"/>
          </w:tcPr>
          <w:p w14:paraId="27266697" w14:textId="77777777" w:rsidR="009B1AE8" w:rsidRPr="00F32E69" w:rsidRDefault="009B1AE8" w:rsidP="00A314DF">
            <w:pPr>
              <w:pStyle w:val="Compact"/>
              <w:jc w:val="right"/>
            </w:pPr>
            <w:r w:rsidRPr="00F32E69">
              <w:t>0.3401</w:t>
            </w:r>
          </w:p>
        </w:tc>
        <w:tc>
          <w:tcPr>
            <w:tcW w:w="0" w:type="auto"/>
          </w:tcPr>
          <w:p w14:paraId="073A74D8" w14:textId="77777777" w:rsidR="009B1AE8" w:rsidRPr="00F32E69" w:rsidRDefault="009B1AE8" w:rsidP="00A314DF">
            <w:pPr>
              <w:pStyle w:val="Compact"/>
              <w:jc w:val="right"/>
            </w:pPr>
            <w:r w:rsidRPr="00F32E69">
              <w:t>12.0118</w:t>
            </w:r>
          </w:p>
        </w:tc>
        <w:tc>
          <w:tcPr>
            <w:tcW w:w="0" w:type="auto"/>
          </w:tcPr>
          <w:p w14:paraId="68A1289B" w14:textId="77777777" w:rsidR="009B1AE8" w:rsidRPr="00F32E69" w:rsidRDefault="009B1AE8" w:rsidP="00A314DF">
            <w:pPr>
              <w:pStyle w:val="Compact"/>
              <w:jc w:val="right"/>
            </w:pPr>
            <w:r w:rsidRPr="00F32E69">
              <w:t>0.0000</w:t>
            </w:r>
          </w:p>
        </w:tc>
      </w:tr>
      <w:tr w:rsidR="00F32E69" w:rsidRPr="00F32E69" w14:paraId="38E90BF2" w14:textId="77777777" w:rsidTr="00A314DF">
        <w:tc>
          <w:tcPr>
            <w:tcW w:w="0" w:type="auto"/>
          </w:tcPr>
          <w:p w14:paraId="4DD3F158" w14:textId="77777777" w:rsidR="009B1AE8" w:rsidRPr="00F32E69" w:rsidRDefault="009B1AE8" w:rsidP="00A314DF">
            <w:pPr>
              <w:pStyle w:val="Compact"/>
            </w:pPr>
            <w:r w:rsidRPr="00F32E69">
              <w:t>Log(scale)</w:t>
            </w:r>
          </w:p>
        </w:tc>
        <w:tc>
          <w:tcPr>
            <w:tcW w:w="0" w:type="auto"/>
          </w:tcPr>
          <w:p w14:paraId="56DE953C" w14:textId="77777777" w:rsidR="009B1AE8" w:rsidRPr="00F32E69" w:rsidRDefault="009B1AE8" w:rsidP="00A314DF">
            <w:pPr>
              <w:pStyle w:val="Compact"/>
              <w:jc w:val="right"/>
            </w:pPr>
            <w:r w:rsidRPr="00F32E69">
              <w:t>0.2477</w:t>
            </w:r>
          </w:p>
        </w:tc>
        <w:tc>
          <w:tcPr>
            <w:tcW w:w="0" w:type="auto"/>
          </w:tcPr>
          <w:p w14:paraId="340FF797" w14:textId="77777777" w:rsidR="009B1AE8" w:rsidRPr="00F32E69" w:rsidRDefault="009B1AE8" w:rsidP="00A314DF">
            <w:pPr>
              <w:pStyle w:val="Compact"/>
              <w:jc w:val="right"/>
            </w:pPr>
            <w:r w:rsidRPr="00F32E69">
              <w:t>0.1612</w:t>
            </w:r>
          </w:p>
        </w:tc>
        <w:tc>
          <w:tcPr>
            <w:tcW w:w="0" w:type="auto"/>
          </w:tcPr>
          <w:p w14:paraId="639A18B2" w14:textId="77777777" w:rsidR="009B1AE8" w:rsidRPr="00F32E69" w:rsidRDefault="009B1AE8" w:rsidP="00A314DF">
            <w:pPr>
              <w:pStyle w:val="Compact"/>
              <w:jc w:val="right"/>
            </w:pPr>
            <w:r w:rsidRPr="00F32E69">
              <w:t>1.5364</w:t>
            </w:r>
          </w:p>
        </w:tc>
        <w:tc>
          <w:tcPr>
            <w:tcW w:w="0" w:type="auto"/>
          </w:tcPr>
          <w:p w14:paraId="29B25163" w14:textId="77777777" w:rsidR="009B1AE8" w:rsidRPr="00F32E69" w:rsidRDefault="009B1AE8" w:rsidP="00A314DF">
            <w:pPr>
              <w:pStyle w:val="Compact"/>
              <w:jc w:val="right"/>
            </w:pPr>
            <w:r w:rsidRPr="00F32E69">
              <w:t>0.1244</w:t>
            </w:r>
          </w:p>
        </w:tc>
      </w:tr>
    </w:tbl>
    <w:p w14:paraId="5F7C199B" w14:textId="77777777" w:rsidR="009B1AE8" w:rsidRPr="00F32E69" w:rsidRDefault="009B1AE8" w:rsidP="009B1AE8">
      <w:pPr>
        <w:pStyle w:val="BodyText"/>
      </w:pPr>
      <w:r w:rsidRPr="00F32E69">
        <w:rPr>
          <w:i/>
          <w:iCs/>
        </w:rPr>
        <w:t>Model diagnostics: Log-likelihood = -147.95; AIC = 299.9; BIC = 303.95</w:t>
      </w:r>
    </w:p>
    <w:p w14:paraId="36EF2F38" w14:textId="77777777" w:rsidR="009B1AE8" w:rsidRPr="00F32E69" w:rsidRDefault="009B1AE8" w:rsidP="009B1AE8">
      <w:r w:rsidRPr="00F32E69">
        <w:br w:type="page"/>
      </w:r>
    </w:p>
    <w:p w14:paraId="10F33E01" w14:textId="77777777" w:rsidR="009B1AE8" w:rsidRPr="00F32E69" w:rsidRDefault="009B1AE8" w:rsidP="009B1AE8">
      <w:pPr>
        <w:pStyle w:val="Heading4"/>
        <w:rPr>
          <w:color w:val="auto"/>
        </w:rPr>
      </w:pPr>
      <w:r w:rsidRPr="00F32E69">
        <w:rPr>
          <w:color w:val="auto"/>
        </w:rPr>
        <w:lastRenderedPageBreak/>
        <w:t>Gaussian</w:t>
      </w:r>
    </w:p>
    <w:p w14:paraId="5996D191" w14:textId="19DC9D4F" w:rsidR="00250FED" w:rsidRPr="00F32E69" w:rsidRDefault="00250FED" w:rsidP="00867597">
      <w:pPr>
        <w:pStyle w:val="BodyText"/>
        <w:rPr>
          <w:b/>
          <w:iCs/>
        </w:rPr>
      </w:pPr>
      <w:r w:rsidRPr="00F32E69">
        <w:rPr>
          <w:b/>
          <w:bCs/>
          <w:i/>
          <w:iCs/>
        </w:rPr>
        <w:t xml:space="preserve">Cohort 2 Figure 6: Kaplan-Meier plot with Gaussian fit </w:t>
      </w:r>
      <w:r w:rsidR="00C304F4" w:rsidRPr="00F32E69">
        <w:rPr>
          <w:b/>
          <w:bCs/>
          <w:i/>
          <w:iCs/>
        </w:rPr>
        <w:t xml:space="preserve">of overall survival </w:t>
      </w:r>
      <w:r w:rsidR="00C304F4" w:rsidRPr="00F32E69">
        <w:rPr>
          <w:rFonts w:ascii="Cambria" w:eastAsia="Cambria" w:hAnsi="Cambria" w:cs="Cambria"/>
          <w:b/>
          <w:bCs/>
          <w:i/>
          <w:iCs/>
        </w:rPr>
        <w:t xml:space="preserve">amongst patients who have received </w:t>
      </w:r>
      <w:r w:rsidRPr="00F32E69">
        <w:rPr>
          <w:b/>
          <w:bCs/>
          <w:i/>
          <w:iCs/>
        </w:rPr>
        <w:t>blinatumomab</w:t>
      </w:r>
    </w:p>
    <w:tbl>
      <w:tblPr>
        <w:tblStyle w:val="Table"/>
        <w:tblW w:w="5000" w:type="pct"/>
        <w:tblLook w:val="0000" w:firstRow="0" w:lastRow="0" w:firstColumn="0" w:lastColumn="0" w:noHBand="0" w:noVBand="0"/>
      </w:tblPr>
      <w:tblGrid>
        <w:gridCol w:w="9360"/>
      </w:tblGrid>
      <w:tr w:rsidR="00F32E69" w:rsidRPr="00F32E69" w14:paraId="13C7559D" w14:textId="77777777" w:rsidTr="00A314DF">
        <w:tc>
          <w:tcPr>
            <w:tcW w:w="0" w:type="auto"/>
          </w:tcPr>
          <w:p w14:paraId="5E9E6ADA" w14:textId="77777777" w:rsidR="009B1AE8" w:rsidRPr="00F32E69" w:rsidRDefault="009B1AE8" w:rsidP="00A314DF">
            <w:pPr>
              <w:jc w:val="center"/>
            </w:pPr>
            <w:r w:rsidRPr="00F32E69">
              <w:rPr>
                <w:noProof/>
              </w:rPr>
              <w:drawing>
                <wp:inline distT="0" distB="0" distL="0" distR="0" wp14:anchorId="446C9FEE" wp14:editId="4478C66A">
                  <wp:extent cx="4620126" cy="3696101"/>
                  <wp:effectExtent l="0" t="0" r="0" b="0"/>
                  <wp:docPr id="56" name="Picture" descr="A Kaplan-Meier plot showing overall survival over time for individuals who have received blinatumomab, with an overlaid gaussian model fit. "/>
                  <wp:cNvGraphicFramePr/>
                  <a:graphic xmlns:a="http://schemas.openxmlformats.org/drawingml/2006/main">
                    <a:graphicData uri="http://schemas.openxmlformats.org/drawingml/2006/picture">
                      <pic:pic xmlns:pic="http://schemas.openxmlformats.org/drawingml/2006/picture">
                        <pic:nvPicPr>
                          <pic:cNvPr id="56" name="Picture" descr="A Kaplan-Meier plot showing overall survival over time for individuals who have received blinatumomab, with an overlaid gaussian model fit. "/>
                          <pic:cNvPicPr>
                            <a:picLocks noChangeAspect="1" noChangeArrowheads="1"/>
                          </pic:cNvPicPr>
                        </pic:nvPicPr>
                        <pic:blipFill>
                          <a:blip r:embed="rId25"/>
                          <a:stretch>
                            <a:fillRect/>
                          </a:stretch>
                        </pic:blipFill>
                        <pic:spPr bwMode="auto">
                          <a:xfrm>
                            <a:off x="0" y="0"/>
                            <a:ext cx="4620126" cy="3696101"/>
                          </a:xfrm>
                          <a:prstGeom prst="rect">
                            <a:avLst/>
                          </a:prstGeom>
                          <a:noFill/>
                          <a:ln w="9525">
                            <a:noFill/>
                            <a:headEnd/>
                            <a:tailEnd/>
                          </a:ln>
                        </pic:spPr>
                      </pic:pic>
                    </a:graphicData>
                  </a:graphic>
                </wp:inline>
              </w:drawing>
            </w:r>
          </w:p>
          <w:p w14:paraId="7E7619C3" w14:textId="7E196CD3" w:rsidR="009B1AE8" w:rsidRPr="00F32E69" w:rsidRDefault="009B1AE8" w:rsidP="00A314DF">
            <w:pPr>
              <w:pStyle w:val="ImageCaption"/>
              <w:spacing w:before="200"/>
            </w:pPr>
          </w:p>
        </w:tc>
      </w:tr>
    </w:tbl>
    <w:p w14:paraId="612C209B" w14:textId="77777777" w:rsidR="009B1AE8" w:rsidRPr="00F32E69" w:rsidRDefault="009B1AE8" w:rsidP="009B1AE8">
      <w:pPr>
        <w:pStyle w:val="BodyText"/>
      </w:pPr>
      <w:r w:rsidRPr="00F32E69">
        <w:t> </w:t>
      </w:r>
    </w:p>
    <w:p w14:paraId="74EBB977" w14:textId="3070D22A" w:rsidR="009B1AE8" w:rsidRPr="00F32E69" w:rsidRDefault="00080C6E" w:rsidP="009B1AE8">
      <w:pPr>
        <w:pStyle w:val="TableCaption"/>
      </w:pPr>
      <w:r w:rsidRPr="00F32E69">
        <w:t xml:space="preserve">Cohort 2 </w:t>
      </w:r>
      <w:r w:rsidR="009B1AE8" w:rsidRPr="00F32E69">
        <w:t>Table </w:t>
      </w:r>
      <w:r w:rsidR="00E840D7" w:rsidRPr="00F32E69">
        <w:t>6</w:t>
      </w:r>
      <w:r w:rsidR="009B1AE8" w:rsidRPr="00F32E69">
        <w:t>: Parameter estimates for Gaussian survival model</w:t>
      </w:r>
    </w:p>
    <w:tbl>
      <w:tblPr>
        <w:tblStyle w:val="Table"/>
        <w:tblW w:w="0" w:type="auto"/>
        <w:tblLook w:val="0020" w:firstRow="1" w:lastRow="0" w:firstColumn="0" w:lastColumn="0" w:noHBand="0" w:noVBand="0"/>
        <w:tblCaption w:val="Table 5: Parameter estimates for Gaussian survival model"/>
      </w:tblPr>
      <w:tblGrid>
        <w:gridCol w:w="1347"/>
        <w:gridCol w:w="1121"/>
        <w:gridCol w:w="1215"/>
        <w:gridCol w:w="1063"/>
        <w:gridCol w:w="983"/>
      </w:tblGrid>
      <w:tr w:rsidR="00F32E69" w:rsidRPr="00F32E69" w14:paraId="2259822A" w14:textId="77777777" w:rsidTr="00A314DF">
        <w:trPr>
          <w:cnfStyle w:val="100000000000" w:firstRow="1" w:lastRow="0" w:firstColumn="0" w:lastColumn="0" w:oddVBand="0" w:evenVBand="0" w:oddHBand="0" w:evenHBand="0" w:firstRowFirstColumn="0" w:firstRowLastColumn="0" w:lastRowFirstColumn="0" w:lastRowLastColumn="0"/>
          <w:tblHeader/>
        </w:trPr>
        <w:tc>
          <w:tcPr>
            <w:tcW w:w="0" w:type="auto"/>
          </w:tcPr>
          <w:p w14:paraId="1236FE4C" w14:textId="77777777" w:rsidR="009B1AE8" w:rsidRPr="00F32E69" w:rsidRDefault="009B1AE8" w:rsidP="00A314DF">
            <w:pPr>
              <w:pStyle w:val="Compact"/>
            </w:pPr>
            <w:r w:rsidRPr="00F32E69">
              <w:t>Variable</w:t>
            </w:r>
          </w:p>
        </w:tc>
        <w:tc>
          <w:tcPr>
            <w:tcW w:w="0" w:type="auto"/>
          </w:tcPr>
          <w:p w14:paraId="62C66B05" w14:textId="77777777" w:rsidR="009B1AE8" w:rsidRPr="00F32E69" w:rsidRDefault="009B1AE8" w:rsidP="00A314DF">
            <w:pPr>
              <w:pStyle w:val="Compact"/>
              <w:jc w:val="right"/>
            </w:pPr>
            <w:r w:rsidRPr="00F32E69">
              <w:t>Estimate</w:t>
            </w:r>
          </w:p>
        </w:tc>
        <w:tc>
          <w:tcPr>
            <w:tcW w:w="0" w:type="auto"/>
          </w:tcPr>
          <w:p w14:paraId="71048E9B" w14:textId="77777777" w:rsidR="009B1AE8" w:rsidRPr="00F32E69" w:rsidRDefault="009B1AE8" w:rsidP="00A314DF">
            <w:pPr>
              <w:pStyle w:val="Compact"/>
              <w:jc w:val="right"/>
            </w:pPr>
            <w:r w:rsidRPr="00F32E69">
              <w:t>Std. Error</w:t>
            </w:r>
          </w:p>
        </w:tc>
        <w:tc>
          <w:tcPr>
            <w:tcW w:w="0" w:type="auto"/>
          </w:tcPr>
          <w:p w14:paraId="56DFD0CF" w14:textId="77777777" w:rsidR="009B1AE8" w:rsidRPr="00F32E69" w:rsidRDefault="009B1AE8" w:rsidP="00A314DF">
            <w:pPr>
              <w:pStyle w:val="Compact"/>
              <w:jc w:val="right"/>
            </w:pPr>
            <w:r w:rsidRPr="00F32E69">
              <w:t>z</w:t>
            </w:r>
          </w:p>
        </w:tc>
        <w:tc>
          <w:tcPr>
            <w:tcW w:w="0" w:type="auto"/>
          </w:tcPr>
          <w:p w14:paraId="635A82D1" w14:textId="77777777" w:rsidR="009B1AE8" w:rsidRPr="00F32E69" w:rsidRDefault="009B1AE8" w:rsidP="00A314DF">
            <w:pPr>
              <w:pStyle w:val="Compact"/>
              <w:jc w:val="right"/>
            </w:pPr>
            <w:r w:rsidRPr="00F32E69">
              <w:t>p-value</w:t>
            </w:r>
          </w:p>
        </w:tc>
      </w:tr>
      <w:tr w:rsidR="00F32E69" w:rsidRPr="00F32E69" w14:paraId="6FC9B2FF" w14:textId="77777777" w:rsidTr="00A314DF">
        <w:tc>
          <w:tcPr>
            <w:tcW w:w="0" w:type="auto"/>
          </w:tcPr>
          <w:p w14:paraId="5EE350DC" w14:textId="77777777" w:rsidR="009B1AE8" w:rsidRPr="00F32E69" w:rsidRDefault="009B1AE8" w:rsidP="00A314DF">
            <w:pPr>
              <w:pStyle w:val="Compact"/>
            </w:pPr>
            <w:r w:rsidRPr="00F32E69">
              <w:t>(Intercept)</w:t>
            </w:r>
          </w:p>
        </w:tc>
        <w:tc>
          <w:tcPr>
            <w:tcW w:w="0" w:type="auto"/>
          </w:tcPr>
          <w:p w14:paraId="51A1EC53" w14:textId="77777777" w:rsidR="009B1AE8" w:rsidRPr="00F32E69" w:rsidRDefault="009B1AE8" w:rsidP="00A314DF">
            <w:pPr>
              <w:pStyle w:val="Compact"/>
              <w:jc w:val="right"/>
            </w:pPr>
            <w:r w:rsidRPr="00F32E69">
              <w:t>67.8274</w:t>
            </w:r>
          </w:p>
        </w:tc>
        <w:tc>
          <w:tcPr>
            <w:tcW w:w="0" w:type="auto"/>
          </w:tcPr>
          <w:p w14:paraId="4BF41547" w14:textId="77777777" w:rsidR="009B1AE8" w:rsidRPr="00F32E69" w:rsidRDefault="009B1AE8" w:rsidP="00A314DF">
            <w:pPr>
              <w:pStyle w:val="Compact"/>
              <w:jc w:val="right"/>
            </w:pPr>
            <w:r w:rsidRPr="00F32E69">
              <w:t>9.6184</w:t>
            </w:r>
          </w:p>
        </w:tc>
        <w:tc>
          <w:tcPr>
            <w:tcW w:w="0" w:type="auto"/>
          </w:tcPr>
          <w:p w14:paraId="6DE1188F" w14:textId="77777777" w:rsidR="009B1AE8" w:rsidRPr="00F32E69" w:rsidRDefault="009B1AE8" w:rsidP="00A314DF">
            <w:pPr>
              <w:pStyle w:val="Compact"/>
              <w:jc w:val="right"/>
            </w:pPr>
            <w:r w:rsidRPr="00F32E69">
              <w:t>7.0519</w:t>
            </w:r>
          </w:p>
        </w:tc>
        <w:tc>
          <w:tcPr>
            <w:tcW w:w="0" w:type="auto"/>
          </w:tcPr>
          <w:p w14:paraId="6F7828FF" w14:textId="77777777" w:rsidR="009B1AE8" w:rsidRPr="00F32E69" w:rsidRDefault="009B1AE8" w:rsidP="00A314DF">
            <w:pPr>
              <w:pStyle w:val="Compact"/>
              <w:jc w:val="right"/>
            </w:pPr>
            <w:r w:rsidRPr="00F32E69">
              <w:t>0</w:t>
            </w:r>
          </w:p>
        </w:tc>
      </w:tr>
      <w:tr w:rsidR="00F32E69" w:rsidRPr="00F32E69" w14:paraId="5380DD1D" w14:textId="77777777" w:rsidTr="00A314DF">
        <w:tc>
          <w:tcPr>
            <w:tcW w:w="0" w:type="auto"/>
          </w:tcPr>
          <w:p w14:paraId="27E4E44A" w14:textId="77777777" w:rsidR="009B1AE8" w:rsidRPr="00F32E69" w:rsidRDefault="009B1AE8" w:rsidP="00A314DF">
            <w:pPr>
              <w:pStyle w:val="Compact"/>
            </w:pPr>
            <w:r w:rsidRPr="00F32E69">
              <w:t>Log(scale)</w:t>
            </w:r>
          </w:p>
        </w:tc>
        <w:tc>
          <w:tcPr>
            <w:tcW w:w="0" w:type="auto"/>
          </w:tcPr>
          <w:p w14:paraId="1316A3E8" w14:textId="77777777" w:rsidR="009B1AE8" w:rsidRPr="00F32E69" w:rsidRDefault="009B1AE8" w:rsidP="00A314DF">
            <w:pPr>
              <w:pStyle w:val="Compact"/>
              <w:jc w:val="right"/>
            </w:pPr>
            <w:r w:rsidRPr="00F32E69">
              <w:t>4.0729</w:t>
            </w:r>
          </w:p>
        </w:tc>
        <w:tc>
          <w:tcPr>
            <w:tcW w:w="0" w:type="auto"/>
          </w:tcPr>
          <w:p w14:paraId="669AB786" w14:textId="77777777" w:rsidR="009B1AE8" w:rsidRPr="00F32E69" w:rsidRDefault="009B1AE8" w:rsidP="00A314DF">
            <w:pPr>
              <w:pStyle w:val="Compact"/>
              <w:jc w:val="right"/>
            </w:pPr>
            <w:r w:rsidRPr="00F32E69">
              <w:t>0.1537</w:t>
            </w:r>
          </w:p>
        </w:tc>
        <w:tc>
          <w:tcPr>
            <w:tcW w:w="0" w:type="auto"/>
          </w:tcPr>
          <w:p w14:paraId="587F6B04" w14:textId="77777777" w:rsidR="009B1AE8" w:rsidRPr="00F32E69" w:rsidRDefault="009B1AE8" w:rsidP="00A314DF">
            <w:pPr>
              <w:pStyle w:val="Compact"/>
              <w:jc w:val="right"/>
            </w:pPr>
            <w:r w:rsidRPr="00F32E69">
              <w:t>26.4992</w:t>
            </w:r>
          </w:p>
        </w:tc>
        <w:tc>
          <w:tcPr>
            <w:tcW w:w="0" w:type="auto"/>
          </w:tcPr>
          <w:p w14:paraId="2B396267" w14:textId="77777777" w:rsidR="009B1AE8" w:rsidRPr="00F32E69" w:rsidRDefault="009B1AE8" w:rsidP="00A314DF">
            <w:pPr>
              <w:pStyle w:val="Compact"/>
              <w:jc w:val="right"/>
            </w:pPr>
            <w:r w:rsidRPr="00F32E69">
              <w:t>0</w:t>
            </w:r>
          </w:p>
        </w:tc>
      </w:tr>
    </w:tbl>
    <w:p w14:paraId="11AF7742" w14:textId="77777777" w:rsidR="009B1AE8" w:rsidRPr="00F32E69" w:rsidRDefault="009B1AE8" w:rsidP="009B1AE8">
      <w:pPr>
        <w:pStyle w:val="BodyText"/>
      </w:pPr>
      <w:r w:rsidRPr="00F32E69">
        <w:rPr>
          <w:i/>
          <w:iCs/>
        </w:rPr>
        <w:t>Model diagnostics: Log-likelihood = -174.73; AIC = 353.46; BIC = 357.52</w:t>
      </w:r>
    </w:p>
    <w:p w14:paraId="137ECAAA" w14:textId="77777777" w:rsidR="009B1AE8" w:rsidRPr="00F32E69" w:rsidRDefault="009B1AE8" w:rsidP="009B1AE8">
      <w:r w:rsidRPr="00F32E69">
        <w:br w:type="page"/>
      </w:r>
    </w:p>
    <w:p w14:paraId="02318B44" w14:textId="77777777" w:rsidR="009B1AE8" w:rsidRPr="00F32E69" w:rsidRDefault="009B1AE8" w:rsidP="009B1AE8">
      <w:pPr>
        <w:pStyle w:val="Heading4"/>
        <w:rPr>
          <w:color w:val="auto"/>
        </w:rPr>
      </w:pPr>
      <w:r w:rsidRPr="00F32E69">
        <w:rPr>
          <w:color w:val="auto"/>
        </w:rPr>
        <w:lastRenderedPageBreak/>
        <w:t>Gamma</w:t>
      </w:r>
    </w:p>
    <w:p w14:paraId="5D4B87E5" w14:textId="564C3D2E" w:rsidR="00080C6E" w:rsidRPr="00F32E69" w:rsidRDefault="00080C6E" w:rsidP="00867597">
      <w:pPr>
        <w:pStyle w:val="BodyText"/>
        <w:rPr>
          <w:b/>
          <w:iCs/>
        </w:rPr>
      </w:pPr>
      <w:r w:rsidRPr="00F32E69">
        <w:rPr>
          <w:b/>
          <w:bCs/>
          <w:i/>
          <w:iCs/>
        </w:rPr>
        <w:t xml:space="preserve">Cohort 2 Figure 7: Kaplan-Meier plot with Gamma fit </w:t>
      </w:r>
      <w:r w:rsidR="00C304F4" w:rsidRPr="00F32E69">
        <w:rPr>
          <w:b/>
          <w:bCs/>
          <w:i/>
          <w:iCs/>
        </w:rPr>
        <w:t xml:space="preserve">of overall survival </w:t>
      </w:r>
      <w:r w:rsidR="00C304F4" w:rsidRPr="00F32E69">
        <w:rPr>
          <w:rFonts w:ascii="Cambria" w:eastAsia="Cambria" w:hAnsi="Cambria" w:cs="Cambria"/>
          <w:b/>
          <w:bCs/>
          <w:i/>
          <w:iCs/>
        </w:rPr>
        <w:t xml:space="preserve">amongst patients who have received </w:t>
      </w:r>
      <w:r w:rsidRPr="00F32E69">
        <w:rPr>
          <w:b/>
          <w:bCs/>
          <w:i/>
          <w:iCs/>
        </w:rPr>
        <w:t>blinatumomab</w:t>
      </w:r>
    </w:p>
    <w:tbl>
      <w:tblPr>
        <w:tblStyle w:val="Table"/>
        <w:tblW w:w="5000" w:type="pct"/>
        <w:tblLook w:val="0000" w:firstRow="0" w:lastRow="0" w:firstColumn="0" w:lastColumn="0" w:noHBand="0" w:noVBand="0"/>
      </w:tblPr>
      <w:tblGrid>
        <w:gridCol w:w="9360"/>
      </w:tblGrid>
      <w:tr w:rsidR="00F32E69" w:rsidRPr="00F32E69" w14:paraId="48B36407" w14:textId="77777777" w:rsidTr="00A314DF">
        <w:tc>
          <w:tcPr>
            <w:tcW w:w="0" w:type="auto"/>
          </w:tcPr>
          <w:p w14:paraId="41B86953" w14:textId="77777777" w:rsidR="009B1AE8" w:rsidRPr="00F32E69" w:rsidRDefault="009B1AE8" w:rsidP="00A314DF">
            <w:pPr>
              <w:jc w:val="center"/>
            </w:pPr>
            <w:r w:rsidRPr="00F32E69">
              <w:rPr>
                <w:noProof/>
              </w:rPr>
              <w:drawing>
                <wp:inline distT="0" distB="0" distL="0" distR="0" wp14:anchorId="3CF33003" wp14:editId="2E766675">
                  <wp:extent cx="4620126" cy="3696101"/>
                  <wp:effectExtent l="0" t="0" r="0" b="0"/>
                  <wp:docPr id="62" name="Picture" descr="A Kaplan-Meier plot showing overall survival over time for individuals who have received blinatumomab, with an overlaid Gamma model fit. "/>
                  <wp:cNvGraphicFramePr/>
                  <a:graphic xmlns:a="http://schemas.openxmlformats.org/drawingml/2006/main">
                    <a:graphicData uri="http://schemas.openxmlformats.org/drawingml/2006/picture">
                      <pic:pic xmlns:pic="http://schemas.openxmlformats.org/drawingml/2006/picture">
                        <pic:nvPicPr>
                          <pic:cNvPr id="62" name="Picture" descr="A Kaplan-Meier plot showing overall survival over time for individuals who have received blinatumomab, with an overlaid Gamma model fit. "/>
                          <pic:cNvPicPr>
                            <a:picLocks noChangeAspect="1" noChangeArrowheads="1"/>
                          </pic:cNvPicPr>
                        </pic:nvPicPr>
                        <pic:blipFill>
                          <a:blip r:embed="rId26"/>
                          <a:stretch>
                            <a:fillRect/>
                          </a:stretch>
                        </pic:blipFill>
                        <pic:spPr bwMode="auto">
                          <a:xfrm>
                            <a:off x="0" y="0"/>
                            <a:ext cx="4620126" cy="3696101"/>
                          </a:xfrm>
                          <a:prstGeom prst="rect">
                            <a:avLst/>
                          </a:prstGeom>
                          <a:noFill/>
                          <a:ln w="9525">
                            <a:noFill/>
                            <a:headEnd/>
                            <a:tailEnd/>
                          </a:ln>
                        </pic:spPr>
                      </pic:pic>
                    </a:graphicData>
                  </a:graphic>
                </wp:inline>
              </w:drawing>
            </w:r>
          </w:p>
          <w:p w14:paraId="5AAD62C7" w14:textId="733B644E" w:rsidR="009B1AE8" w:rsidRPr="00F32E69" w:rsidRDefault="009B1AE8" w:rsidP="00A314DF">
            <w:pPr>
              <w:pStyle w:val="ImageCaption"/>
              <w:spacing w:before="200"/>
            </w:pPr>
          </w:p>
        </w:tc>
      </w:tr>
    </w:tbl>
    <w:p w14:paraId="2511446D" w14:textId="77777777" w:rsidR="009B1AE8" w:rsidRPr="00F32E69" w:rsidRDefault="009B1AE8" w:rsidP="009B1AE8">
      <w:pPr>
        <w:pStyle w:val="BodyText"/>
      </w:pPr>
      <w:r w:rsidRPr="00F32E69">
        <w:t> </w:t>
      </w:r>
    </w:p>
    <w:p w14:paraId="227AC1F2" w14:textId="4883F660" w:rsidR="009B1AE8" w:rsidRPr="00F32E69" w:rsidRDefault="00080C6E" w:rsidP="009B1AE8">
      <w:pPr>
        <w:pStyle w:val="TableCaption"/>
      </w:pPr>
      <w:r w:rsidRPr="00F32E69">
        <w:t xml:space="preserve">Cohort 2 </w:t>
      </w:r>
      <w:r w:rsidR="009B1AE8" w:rsidRPr="00F32E69">
        <w:t>Table </w:t>
      </w:r>
      <w:r w:rsidR="00E840D7" w:rsidRPr="00F32E69">
        <w:t>7</w:t>
      </w:r>
      <w:r w:rsidR="009B1AE8" w:rsidRPr="00F32E69">
        <w:t>: Parameter estimates for Gamma survival model</w:t>
      </w:r>
    </w:p>
    <w:tbl>
      <w:tblPr>
        <w:tblStyle w:val="Table"/>
        <w:tblW w:w="0" w:type="auto"/>
        <w:tblLook w:val="0020" w:firstRow="1" w:lastRow="0" w:firstColumn="0" w:lastColumn="0" w:noHBand="0" w:noVBand="0"/>
        <w:tblCaption w:val="Table 6: Parameter estimates for Gamma survival model"/>
      </w:tblPr>
      <w:tblGrid>
        <w:gridCol w:w="1075"/>
        <w:gridCol w:w="1121"/>
        <w:gridCol w:w="930"/>
        <w:gridCol w:w="930"/>
        <w:gridCol w:w="1215"/>
        <w:gridCol w:w="983"/>
      </w:tblGrid>
      <w:tr w:rsidR="00F32E69" w:rsidRPr="00F32E69" w14:paraId="23682F10" w14:textId="77777777" w:rsidTr="00A314DF">
        <w:trPr>
          <w:cnfStyle w:val="100000000000" w:firstRow="1" w:lastRow="0" w:firstColumn="0" w:lastColumn="0" w:oddVBand="0" w:evenVBand="0" w:oddHBand="0" w:evenHBand="0" w:firstRowFirstColumn="0" w:firstRowLastColumn="0" w:lastRowFirstColumn="0" w:lastRowLastColumn="0"/>
          <w:tblHeader/>
        </w:trPr>
        <w:tc>
          <w:tcPr>
            <w:tcW w:w="0" w:type="auto"/>
          </w:tcPr>
          <w:p w14:paraId="5A6F2B2B" w14:textId="77777777" w:rsidR="009B1AE8" w:rsidRPr="00F32E69" w:rsidRDefault="009B1AE8" w:rsidP="00A314DF">
            <w:pPr>
              <w:pStyle w:val="Compact"/>
            </w:pPr>
            <w:r w:rsidRPr="00F32E69">
              <w:t>Variable</w:t>
            </w:r>
          </w:p>
        </w:tc>
        <w:tc>
          <w:tcPr>
            <w:tcW w:w="0" w:type="auto"/>
          </w:tcPr>
          <w:p w14:paraId="75D7EAAF" w14:textId="77777777" w:rsidR="009B1AE8" w:rsidRPr="00F32E69" w:rsidRDefault="009B1AE8" w:rsidP="00A314DF">
            <w:pPr>
              <w:pStyle w:val="Compact"/>
              <w:jc w:val="right"/>
            </w:pPr>
            <w:r w:rsidRPr="00F32E69">
              <w:t>Estimate</w:t>
            </w:r>
          </w:p>
        </w:tc>
        <w:tc>
          <w:tcPr>
            <w:tcW w:w="0" w:type="auto"/>
          </w:tcPr>
          <w:p w14:paraId="77532226" w14:textId="77777777" w:rsidR="009B1AE8" w:rsidRPr="00F32E69" w:rsidRDefault="009B1AE8" w:rsidP="00A314DF">
            <w:pPr>
              <w:pStyle w:val="Compact"/>
              <w:jc w:val="right"/>
            </w:pPr>
            <w:r w:rsidRPr="00F32E69">
              <w:t>L95%</w:t>
            </w:r>
          </w:p>
        </w:tc>
        <w:tc>
          <w:tcPr>
            <w:tcW w:w="0" w:type="auto"/>
          </w:tcPr>
          <w:p w14:paraId="4B51FF45" w14:textId="77777777" w:rsidR="009B1AE8" w:rsidRPr="00F32E69" w:rsidRDefault="009B1AE8" w:rsidP="00A314DF">
            <w:pPr>
              <w:pStyle w:val="Compact"/>
              <w:jc w:val="right"/>
            </w:pPr>
            <w:r w:rsidRPr="00F32E69">
              <w:t>U95%</w:t>
            </w:r>
          </w:p>
        </w:tc>
        <w:tc>
          <w:tcPr>
            <w:tcW w:w="0" w:type="auto"/>
          </w:tcPr>
          <w:p w14:paraId="23BAD076" w14:textId="77777777" w:rsidR="009B1AE8" w:rsidRPr="00F32E69" w:rsidRDefault="009B1AE8" w:rsidP="00A314DF">
            <w:pPr>
              <w:pStyle w:val="Compact"/>
              <w:jc w:val="right"/>
            </w:pPr>
            <w:r w:rsidRPr="00F32E69">
              <w:t>Std. Error</w:t>
            </w:r>
          </w:p>
        </w:tc>
        <w:tc>
          <w:tcPr>
            <w:tcW w:w="0" w:type="auto"/>
          </w:tcPr>
          <w:p w14:paraId="50DC02E7" w14:textId="77777777" w:rsidR="009B1AE8" w:rsidRPr="00F32E69" w:rsidRDefault="009B1AE8" w:rsidP="00A314DF">
            <w:pPr>
              <w:pStyle w:val="Compact"/>
              <w:jc w:val="right"/>
            </w:pPr>
            <w:r w:rsidRPr="00F32E69">
              <w:t>p-value</w:t>
            </w:r>
          </w:p>
        </w:tc>
      </w:tr>
      <w:tr w:rsidR="00F32E69" w:rsidRPr="00F32E69" w14:paraId="578FF6BC" w14:textId="77777777" w:rsidTr="00A314DF">
        <w:tc>
          <w:tcPr>
            <w:tcW w:w="0" w:type="auto"/>
          </w:tcPr>
          <w:p w14:paraId="6EE235CD" w14:textId="77777777" w:rsidR="009B1AE8" w:rsidRPr="00F32E69" w:rsidRDefault="009B1AE8" w:rsidP="00A314DF">
            <w:pPr>
              <w:pStyle w:val="Compact"/>
            </w:pPr>
            <w:r w:rsidRPr="00F32E69">
              <w:t>shape</w:t>
            </w:r>
          </w:p>
        </w:tc>
        <w:tc>
          <w:tcPr>
            <w:tcW w:w="0" w:type="auto"/>
          </w:tcPr>
          <w:p w14:paraId="7736F421" w14:textId="77777777" w:rsidR="009B1AE8" w:rsidRPr="00F32E69" w:rsidRDefault="009B1AE8" w:rsidP="00A314DF">
            <w:pPr>
              <w:pStyle w:val="Compact"/>
              <w:jc w:val="right"/>
            </w:pPr>
            <w:r w:rsidRPr="00F32E69">
              <w:t>0.5806</w:t>
            </w:r>
          </w:p>
        </w:tc>
        <w:tc>
          <w:tcPr>
            <w:tcW w:w="0" w:type="auto"/>
          </w:tcPr>
          <w:p w14:paraId="12407D2B" w14:textId="77777777" w:rsidR="009B1AE8" w:rsidRPr="00F32E69" w:rsidRDefault="009B1AE8" w:rsidP="00A314DF">
            <w:pPr>
              <w:pStyle w:val="Compact"/>
              <w:jc w:val="right"/>
            </w:pPr>
            <w:r w:rsidRPr="00F32E69">
              <w:t>0.3828</w:t>
            </w:r>
          </w:p>
        </w:tc>
        <w:tc>
          <w:tcPr>
            <w:tcW w:w="0" w:type="auto"/>
          </w:tcPr>
          <w:p w14:paraId="4F0E92BE" w14:textId="77777777" w:rsidR="009B1AE8" w:rsidRPr="00F32E69" w:rsidRDefault="009B1AE8" w:rsidP="00A314DF">
            <w:pPr>
              <w:pStyle w:val="Compact"/>
              <w:jc w:val="right"/>
            </w:pPr>
            <w:r w:rsidRPr="00F32E69">
              <w:t>0.8808</w:t>
            </w:r>
          </w:p>
        </w:tc>
        <w:tc>
          <w:tcPr>
            <w:tcW w:w="0" w:type="auto"/>
          </w:tcPr>
          <w:p w14:paraId="7D205EBB" w14:textId="77777777" w:rsidR="009B1AE8" w:rsidRPr="00F32E69" w:rsidRDefault="009B1AE8" w:rsidP="00A314DF">
            <w:pPr>
              <w:pStyle w:val="Compact"/>
              <w:jc w:val="right"/>
            </w:pPr>
            <w:r w:rsidRPr="00F32E69">
              <w:t>0.1234</w:t>
            </w:r>
          </w:p>
        </w:tc>
        <w:tc>
          <w:tcPr>
            <w:tcW w:w="0" w:type="auto"/>
          </w:tcPr>
          <w:p w14:paraId="5DDF38B9" w14:textId="77777777" w:rsidR="009B1AE8" w:rsidRPr="00F32E69" w:rsidRDefault="009B1AE8" w:rsidP="00A314DF">
            <w:pPr>
              <w:pStyle w:val="Compact"/>
              <w:jc w:val="right"/>
            </w:pPr>
            <w:r w:rsidRPr="00F32E69">
              <w:t>0.0000</w:t>
            </w:r>
          </w:p>
        </w:tc>
      </w:tr>
      <w:tr w:rsidR="00F32E69" w:rsidRPr="00F32E69" w14:paraId="21D48966" w14:textId="77777777" w:rsidTr="00A314DF">
        <w:tc>
          <w:tcPr>
            <w:tcW w:w="0" w:type="auto"/>
          </w:tcPr>
          <w:p w14:paraId="48F968DB" w14:textId="77777777" w:rsidR="009B1AE8" w:rsidRPr="00F32E69" w:rsidRDefault="009B1AE8" w:rsidP="00A314DF">
            <w:pPr>
              <w:pStyle w:val="Compact"/>
            </w:pPr>
            <w:r w:rsidRPr="00F32E69">
              <w:t>rate</w:t>
            </w:r>
          </w:p>
        </w:tc>
        <w:tc>
          <w:tcPr>
            <w:tcW w:w="0" w:type="auto"/>
          </w:tcPr>
          <w:p w14:paraId="23387C3E" w14:textId="77777777" w:rsidR="009B1AE8" w:rsidRPr="00F32E69" w:rsidRDefault="009B1AE8" w:rsidP="00A314DF">
            <w:pPr>
              <w:pStyle w:val="Compact"/>
              <w:jc w:val="right"/>
            </w:pPr>
            <w:r w:rsidRPr="00F32E69">
              <w:t>0.0043</w:t>
            </w:r>
          </w:p>
        </w:tc>
        <w:tc>
          <w:tcPr>
            <w:tcW w:w="0" w:type="auto"/>
          </w:tcPr>
          <w:p w14:paraId="49031277" w14:textId="77777777" w:rsidR="009B1AE8" w:rsidRPr="00F32E69" w:rsidRDefault="009B1AE8" w:rsidP="00A314DF">
            <w:pPr>
              <w:pStyle w:val="Compact"/>
              <w:jc w:val="right"/>
            </w:pPr>
            <w:r w:rsidRPr="00F32E69">
              <w:t>0.0016</w:t>
            </w:r>
          </w:p>
        </w:tc>
        <w:tc>
          <w:tcPr>
            <w:tcW w:w="0" w:type="auto"/>
          </w:tcPr>
          <w:p w14:paraId="15E84510" w14:textId="77777777" w:rsidR="009B1AE8" w:rsidRPr="00F32E69" w:rsidRDefault="009B1AE8" w:rsidP="00A314DF">
            <w:pPr>
              <w:pStyle w:val="Compact"/>
              <w:jc w:val="right"/>
            </w:pPr>
            <w:r w:rsidRPr="00F32E69">
              <w:t>0.0113</w:t>
            </w:r>
          </w:p>
        </w:tc>
        <w:tc>
          <w:tcPr>
            <w:tcW w:w="0" w:type="auto"/>
          </w:tcPr>
          <w:p w14:paraId="0AAE2486" w14:textId="77777777" w:rsidR="009B1AE8" w:rsidRPr="00F32E69" w:rsidRDefault="009B1AE8" w:rsidP="00A314DF">
            <w:pPr>
              <w:pStyle w:val="Compact"/>
              <w:jc w:val="right"/>
            </w:pPr>
            <w:r w:rsidRPr="00F32E69">
              <w:t>0.0021</w:t>
            </w:r>
          </w:p>
        </w:tc>
        <w:tc>
          <w:tcPr>
            <w:tcW w:w="0" w:type="auto"/>
          </w:tcPr>
          <w:p w14:paraId="55BBD483" w14:textId="77777777" w:rsidR="009B1AE8" w:rsidRPr="00F32E69" w:rsidRDefault="009B1AE8" w:rsidP="00A314DF">
            <w:pPr>
              <w:pStyle w:val="Compact"/>
              <w:jc w:val="right"/>
            </w:pPr>
            <w:r w:rsidRPr="00F32E69">
              <w:t>0.0413</w:t>
            </w:r>
          </w:p>
        </w:tc>
      </w:tr>
    </w:tbl>
    <w:p w14:paraId="71A7BF6E" w14:textId="77777777" w:rsidR="009B1AE8" w:rsidRPr="00F32E69" w:rsidRDefault="009B1AE8" w:rsidP="009B1AE8">
      <w:pPr>
        <w:pStyle w:val="BodyText"/>
      </w:pPr>
      <w:r w:rsidRPr="00F32E69">
        <w:rPr>
          <w:i/>
          <w:iCs/>
        </w:rPr>
        <w:t>Model diagnostics: Log-likelihood = -150.74; AIC = 305.48; BIC = 309.53</w:t>
      </w:r>
    </w:p>
    <w:p w14:paraId="4B67D3B3" w14:textId="77777777" w:rsidR="009B1AE8" w:rsidRPr="00F32E69" w:rsidRDefault="009B1AE8" w:rsidP="009B1AE8">
      <w:r w:rsidRPr="00F32E69">
        <w:br w:type="page"/>
      </w:r>
    </w:p>
    <w:p w14:paraId="693153DD" w14:textId="77777777" w:rsidR="009B1AE8" w:rsidRPr="00F32E69" w:rsidRDefault="009B1AE8" w:rsidP="009B1AE8">
      <w:pPr>
        <w:pStyle w:val="Heading4"/>
        <w:rPr>
          <w:color w:val="auto"/>
        </w:rPr>
      </w:pPr>
      <w:r w:rsidRPr="00F32E69">
        <w:rPr>
          <w:color w:val="auto"/>
        </w:rPr>
        <w:lastRenderedPageBreak/>
        <w:t>Generalised Gamma</w:t>
      </w:r>
    </w:p>
    <w:p w14:paraId="356B729B" w14:textId="4089DF2C" w:rsidR="00080C6E" w:rsidRPr="00F32E69" w:rsidRDefault="00080C6E" w:rsidP="00867597">
      <w:pPr>
        <w:pStyle w:val="BodyText"/>
        <w:rPr>
          <w:b/>
          <w:iCs/>
        </w:rPr>
      </w:pPr>
      <w:r w:rsidRPr="00F32E69">
        <w:rPr>
          <w:b/>
          <w:bCs/>
          <w:i/>
          <w:iCs/>
        </w:rPr>
        <w:t>Cohort 2 Figure 8: Kaplan-Meier plot with Generalised-Gamma fit</w:t>
      </w:r>
      <w:r w:rsidRPr="00F32E69">
        <w:rPr>
          <w:rFonts w:ascii="Cambria" w:eastAsia="Cambria" w:hAnsi="Cambria" w:cs="Cambria"/>
          <w:b/>
          <w:bCs/>
          <w:i/>
          <w:iCs/>
        </w:rPr>
        <w:t xml:space="preserve"> </w:t>
      </w:r>
      <w:r w:rsidR="00C304F4" w:rsidRPr="00F32E69">
        <w:rPr>
          <w:b/>
          <w:bCs/>
          <w:i/>
          <w:iCs/>
        </w:rPr>
        <w:t xml:space="preserve">of overall survival </w:t>
      </w:r>
      <w:r w:rsidR="00C304F4" w:rsidRPr="00F32E69">
        <w:rPr>
          <w:rFonts w:ascii="Cambria" w:eastAsia="Cambria" w:hAnsi="Cambria" w:cs="Cambria"/>
          <w:b/>
          <w:bCs/>
          <w:i/>
          <w:iCs/>
        </w:rPr>
        <w:t xml:space="preserve">amongst patients who have received </w:t>
      </w:r>
      <w:r w:rsidRPr="00F32E69">
        <w:rPr>
          <w:b/>
          <w:bCs/>
          <w:i/>
          <w:iCs/>
        </w:rPr>
        <w:t>blinatumomab</w:t>
      </w:r>
    </w:p>
    <w:tbl>
      <w:tblPr>
        <w:tblStyle w:val="Table"/>
        <w:tblW w:w="5000" w:type="pct"/>
        <w:tblLook w:val="0000" w:firstRow="0" w:lastRow="0" w:firstColumn="0" w:lastColumn="0" w:noHBand="0" w:noVBand="0"/>
      </w:tblPr>
      <w:tblGrid>
        <w:gridCol w:w="9360"/>
      </w:tblGrid>
      <w:tr w:rsidR="00F32E69" w:rsidRPr="00F32E69" w14:paraId="75A34EEF" w14:textId="77777777" w:rsidTr="00A314DF">
        <w:tc>
          <w:tcPr>
            <w:tcW w:w="0" w:type="auto"/>
          </w:tcPr>
          <w:p w14:paraId="246B3D53" w14:textId="77777777" w:rsidR="009B1AE8" w:rsidRPr="00F32E69" w:rsidRDefault="009B1AE8" w:rsidP="00A314DF">
            <w:pPr>
              <w:jc w:val="center"/>
            </w:pPr>
            <w:r w:rsidRPr="00F32E69">
              <w:rPr>
                <w:noProof/>
              </w:rPr>
              <w:drawing>
                <wp:inline distT="0" distB="0" distL="0" distR="0" wp14:anchorId="1EC49B97" wp14:editId="3327DD79">
                  <wp:extent cx="4620126" cy="3696101"/>
                  <wp:effectExtent l="0" t="0" r="0" b="0"/>
                  <wp:docPr id="68" name="Picture" descr="A Kaplan-Meier plot showing overall survival over time for individuals who have received blinatumomab, with an overlaid generalised gamma model fit. "/>
                  <wp:cNvGraphicFramePr/>
                  <a:graphic xmlns:a="http://schemas.openxmlformats.org/drawingml/2006/main">
                    <a:graphicData uri="http://schemas.openxmlformats.org/drawingml/2006/picture">
                      <pic:pic xmlns:pic="http://schemas.openxmlformats.org/drawingml/2006/picture">
                        <pic:nvPicPr>
                          <pic:cNvPr id="68" name="Picture" descr="A Kaplan-Meier plot showing overall survival over time for individuals who have received blinatumomab, with an overlaid generalised gamma model fit. "/>
                          <pic:cNvPicPr>
                            <a:picLocks noChangeAspect="1" noChangeArrowheads="1"/>
                          </pic:cNvPicPr>
                        </pic:nvPicPr>
                        <pic:blipFill>
                          <a:blip r:embed="rId27"/>
                          <a:stretch>
                            <a:fillRect/>
                          </a:stretch>
                        </pic:blipFill>
                        <pic:spPr bwMode="auto">
                          <a:xfrm>
                            <a:off x="0" y="0"/>
                            <a:ext cx="4620126" cy="3696101"/>
                          </a:xfrm>
                          <a:prstGeom prst="rect">
                            <a:avLst/>
                          </a:prstGeom>
                          <a:noFill/>
                          <a:ln w="9525">
                            <a:noFill/>
                            <a:headEnd/>
                            <a:tailEnd/>
                          </a:ln>
                        </pic:spPr>
                      </pic:pic>
                    </a:graphicData>
                  </a:graphic>
                </wp:inline>
              </w:drawing>
            </w:r>
          </w:p>
          <w:p w14:paraId="411C4C2E" w14:textId="098FAC67" w:rsidR="009B1AE8" w:rsidRPr="00F32E69" w:rsidRDefault="009B1AE8" w:rsidP="00A314DF">
            <w:pPr>
              <w:pStyle w:val="ImageCaption"/>
              <w:spacing w:before="200"/>
            </w:pPr>
          </w:p>
        </w:tc>
      </w:tr>
    </w:tbl>
    <w:p w14:paraId="151818F1" w14:textId="77777777" w:rsidR="009B1AE8" w:rsidRPr="00F32E69" w:rsidRDefault="009B1AE8" w:rsidP="009B1AE8">
      <w:pPr>
        <w:pStyle w:val="BodyText"/>
      </w:pPr>
      <w:r w:rsidRPr="00F32E69">
        <w:t> </w:t>
      </w:r>
    </w:p>
    <w:p w14:paraId="5881A19A" w14:textId="67D591A1" w:rsidR="009B1AE8" w:rsidRPr="00F32E69" w:rsidRDefault="00080C6E" w:rsidP="009B1AE8">
      <w:pPr>
        <w:pStyle w:val="TableCaption"/>
      </w:pPr>
      <w:r w:rsidRPr="00F32E69">
        <w:t xml:space="preserve">Cohort 2 </w:t>
      </w:r>
      <w:r w:rsidR="009B1AE8" w:rsidRPr="00F32E69">
        <w:t>Table </w:t>
      </w:r>
      <w:r w:rsidR="00E840D7" w:rsidRPr="00F32E69">
        <w:t>8</w:t>
      </w:r>
      <w:r w:rsidR="009B1AE8" w:rsidRPr="00F32E69">
        <w:t>: Parameter estimates for Generalised Gamma survival model</w:t>
      </w:r>
    </w:p>
    <w:tbl>
      <w:tblPr>
        <w:tblStyle w:val="Table"/>
        <w:tblW w:w="0" w:type="auto"/>
        <w:tblLook w:val="0020" w:firstRow="1" w:lastRow="0" w:firstColumn="0" w:lastColumn="0" w:noHBand="0" w:noVBand="0"/>
        <w:tblCaption w:val="Table 7: Parameter estimates for Generalised Gamma survival model"/>
      </w:tblPr>
      <w:tblGrid>
        <w:gridCol w:w="1075"/>
        <w:gridCol w:w="1121"/>
        <w:gridCol w:w="1010"/>
        <w:gridCol w:w="1010"/>
        <w:gridCol w:w="1215"/>
        <w:gridCol w:w="983"/>
      </w:tblGrid>
      <w:tr w:rsidR="00F32E69" w:rsidRPr="00F32E69" w14:paraId="5DAB49B0" w14:textId="77777777" w:rsidTr="00A314DF">
        <w:trPr>
          <w:cnfStyle w:val="100000000000" w:firstRow="1" w:lastRow="0" w:firstColumn="0" w:lastColumn="0" w:oddVBand="0" w:evenVBand="0" w:oddHBand="0" w:evenHBand="0" w:firstRowFirstColumn="0" w:firstRowLastColumn="0" w:lastRowFirstColumn="0" w:lastRowLastColumn="0"/>
          <w:tblHeader/>
        </w:trPr>
        <w:tc>
          <w:tcPr>
            <w:tcW w:w="0" w:type="auto"/>
          </w:tcPr>
          <w:p w14:paraId="002178CD" w14:textId="77777777" w:rsidR="009B1AE8" w:rsidRPr="00F32E69" w:rsidRDefault="009B1AE8" w:rsidP="00A314DF">
            <w:pPr>
              <w:pStyle w:val="Compact"/>
            </w:pPr>
            <w:r w:rsidRPr="00F32E69">
              <w:t>Variable</w:t>
            </w:r>
          </w:p>
        </w:tc>
        <w:tc>
          <w:tcPr>
            <w:tcW w:w="0" w:type="auto"/>
          </w:tcPr>
          <w:p w14:paraId="1F23FA82" w14:textId="77777777" w:rsidR="009B1AE8" w:rsidRPr="00F32E69" w:rsidRDefault="009B1AE8" w:rsidP="00A314DF">
            <w:pPr>
              <w:pStyle w:val="Compact"/>
              <w:jc w:val="right"/>
            </w:pPr>
            <w:r w:rsidRPr="00F32E69">
              <w:t>Estimate</w:t>
            </w:r>
          </w:p>
        </w:tc>
        <w:tc>
          <w:tcPr>
            <w:tcW w:w="0" w:type="auto"/>
          </w:tcPr>
          <w:p w14:paraId="424E233F" w14:textId="77777777" w:rsidR="009B1AE8" w:rsidRPr="00F32E69" w:rsidRDefault="009B1AE8" w:rsidP="00A314DF">
            <w:pPr>
              <w:pStyle w:val="Compact"/>
              <w:jc w:val="right"/>
            </w:pPr>
            <w:r w:rsidRPr="00F32E69">
              <w:t>L95%</w:t>
            </w:r>
          </w:p>
        </w:tc>
        <w:tc>
          <w:tcPr>
            <w:tcW w:w="0" w:type="auto"/>
          </w:tcPr>
          <w:p w14:paraId="4AAAFDD4" w14:textId="77777777" w:rsidR="009B1AE8" w:rsidRPr="00F32E69" w:rsidRDefault="009B1AE8" w:rsidP="00A314DF">
            <w:pPr>
              <w:pStyle w:val="Compact"/>
              <w:jc w:val="right"/>
            </w:pPr>
            <w:r w:rsidRPr="00F32E69">
              <w:t>U95%</w:t>
            </w:r>
          </w:p>
        </w:tc>
        <w:tc>
          <w:tcPr>
            <w:tcW w:w="0" w:type="auto"/>
          </w:tcPr>
          <w:p w14:paraId="1CD894F8" w14:textId="77777777" w:rsidR="009B1AE8" w:rsidRPr="00F32E69" w:rsidRDefault="009B1AE8" w:rsidP="00A314DF">
            <w:pPr>
              <w:pStyle w:val="Compact"/>
              <w:jc w:val="right"/>
            </w:pPr>
            <w:r w:rsidRPr="00F32E69">
              <w:t>Std. Error</w:t>
            </w:r>
          </w:p>
        </w:tc>
        <w:tc>
          <w:tcPr>
            <w:tcW w:w="0" w:type="auto"/>
          </w:tcPr>
          <w:p w14:paraId="3BD7B799" w14:textId="77777777" w:rsidR="009B1AE8" w:rsidRPr="00F32E69" w:rsidRDefault="009B1AE8" w:rsidP="00A314DF">
            <w:pPr>
              <w:pStyle w:val="Compact"/>
              <w:jc w:val="right"/>
            </w:pPr>
            <w:r w:rsidRPr="00F32E69">
              <w:t>p-value</w:t>
            </w:r>
          </w:p>
        </w:tc>
      </w:tr>
      <w:tr w:rsidR="00F32E69" w:rsidRPr="00F32E69" w14:paraId="556C79CE" w14:textId="77777777" w:rsidTr="00A314DF">
        <w:tc>
          <w:tcPr>
            <w:tcW w:w="0" w:type="auto"/>
          </w:tcPr>
          <w:p w14:paraId="0F36CE5D" w14:textId="77777777" w:rsidR="009B1AE8" w:rsidRPr="00F32E69" w:rsidRDefault="009B1AE8" w:rsidP="00A314DF">
            <w:pPr>
              <w:pStyle w:val="Compact"/>
            </w:pPr>
            <w:r w:rsidRPr="00F32E69">
              <w:t>mu</w:t>
            </w:r>
          </w:p>
        </w:tc>
        <w:tc>
          <w:tcPr>
            <w:tcW w:w="0" w:type="auto"/>
          </w:tcPr>
          <w:p w14:paraId="44978F11" w14:textId="77777777" w:rsidR="009B1AE8" w:rsidRPr="00F32E69" w:rsidRDefault="009B1AE8" w:rsidP="00A314DF">
            <w:pPr>
              <w:pStyle w:val="Compact"/>
              <w:jc w:val="right"/>
            </w:pPr>
            <w:r w:rsidRPr="00F32E69">
              <w:t>2.7010</w:t>
            </w:r>
          </w:p>
        </w:tc>
        <w:tc>
          <w:tcPr>
            <w:tcW w:w="0" w:type="auto"/>
          </w:tcPr>
          <w:p w14:paraId="05584B62" w14:textId="77777777" w:rsidR="009B1AE8" w:rsidRPr="00F32E69" w:rsidRDefault="009B1AE8" w:rsidP="00A314DF">
            <w:pPr>
              <w:pStyle w:val="Compact"/>
              <w:jc w:val="right"/>
            </w:pPr>
            <w:r w:rsidRPr="00F32E69">
              <w:t>1.6001</w:t>
            </w:r>
          </w:p>
        </w:tc>
        <w:tc>
          <w:tcPr>
            <w:tcW w:w="0" w:type="auto"/>
          </w:tcPr>
          <w:p w14:paraId="275097AA" w14:textId="77777777" w:rsidR="009B1AE8" w:rsidRPr="00F32E69" w:rsidRDefault="009B1AE8" w:rsidP="00A314DF">
            <w:pPr>
              <w:pStyle w:val="Compact"/>
              <w:jc w:val="right"/>
            </w:pPr>
            <w:r w:rsidRPr="00F32E69">
              <w:t>3.8019</w:t>
            </w:r>
          </w:p>
        </w:tc>
        <w:tc>
          <w:tcPr>
            <w:tcW w:w="0" w:type="auto"/>
          </w:tcPr>
          <w:p w14:paraId="59D71CEA" w14:textId="77777777" w:rsidR="009B1AE8" w:rsidRPr="00F32E69" w:rsidRDefault="009B1AE8" w:rsidP="00A314DF">
            <w:pPr>
              <w:pStyle w:val="Compact"/>
              <w:jc w:val="right"/>
            </w:pPr>
            <w:r w:rsidRPr="00F32E69">
              <w:t>0.5617</w:t>
            </w:r>
          </w:p>
        </w:tc>
        <w:tc>
          <w:tcPr>
            <w:tcW w:w="0" w:type="auto"/>
          </w:tcPr>
          <w:p w14:paraId="2C7D13C7" w14:textId="77777777" w:rsidR="009B1AE8" w:rsidRPr="00F32E69" w:rsidRDefault="009B1AE8" w:rsidP="00A314DF">
            <w:pPr>
              <w:pStyle w:val="Compact"/>
              <w:jc w:val="right"/>
            </w:pPr>
            <w:r w:rsidRPr="00F32E69">
              <w:t>0.0000</w:t>
            </w:r>
          </w:p>
        </w:tc>
      </w:tr>
      <w:tr w:rsidR="00F32E69" w:rsidRPr="00F32E69" w14:paraId="458D6D30" w14:textId="77777777" w:rsidTr="00A314DF">
        <w:tc>
          <w:tcPr>
            <w:tcW w:w="0" w:type="auto"/>
          </w:tcPr>
          <w:p w14:paraId="3D89BCBC" w14:textId="77777777" w:rsidR="009B1AE8" w:rsidRPr="00F32E69" w:rsidRDefault="009B1AE8" w:rsidP="00A314DF">
            <w:pPr>
              <w:pStyle w:val="Compact"/>
            </w:pPr>
            <w:r w:rsidRPr="00F32E69">
              <w:t>sigma</w:t>
            </w:r>
          </w:p>
        </w:tc>
        <w:tc>
          <w:tcPr>
            <w:tcW w:w="0" w:type="auto"/>
          </w:tcPr>
          <w:p w14:paraId="681A5D86" w14:textId="77777777" w:rsidR="009B1AE8" w:rsidRPr="00F32E69" w:rsidRDefault="009B1AE8" w:rsidP="00A314DF">
            <w:pPr>
              <w:pStyle w:val="Compact"/>
              <w:jc w:val="right"/>
            </w:pPr>
            <w:r w:rsidRPr="00F32E69">
              <w:t>2.0452</w:t>
            </w:r>
          </w:p>
        </w:tc>
        <w:tc>
          <w:tcPr>
            <w:tcW w:w="0" w:type="auto"/>
          </w:tcPr>
          <w:p w14:paraId="5682C6BA" w14:textId="77777777" w:rsidR="009B1AE8" w:rsidRPr="00F32E69" w:rsidRDefault="009B1AE8" w:rsidP="00A314DF">
            <w:pPr>
              <w:pStyle w:val="Compact"/>
              <w:jc w:val="right"/>
            </w:pPr>
            <w:r w:rsidRPr="00F32E69">
              <w:t>1.5232</w:t>
            </w:r>
          </w:p>
        </w:tc>
        <w:tc>
          <w:tcPr>
            <w:tcW w:w="0" w:type="auto"/>
          </w:tcPr>
          <w:p w14:paraId="720EC0BB" w14:textId="77777777" w:rsidR="009B1AE8" w:rsidRPr="00F32E69" w:rsidRDefault="009B1AE8" w:rsidP="00A314DF">
            <w:pPr>
              <w:pStyle w:val="Compact"/>
              <w:jc w:val="right"/>
            </w:pPr>
            <w:r w:rsidRPr="00F32E69">
              <w:t>2.7462</w:t>
            </w:r>
          </w:p>
        </w:tc>
        <w:tc>
          <w:tcPr>
            <w:tcW w:w="0" w:type="auto"/>
          </w:tcPr>
          <w:p w14:paraId="3B04CD1B" w14:textId="77777777" w:rsidR="009B1AE8" w:rsidRPr="00F32E69" w:rsidRDefault="009B1AE8" w:rsidP="00A314DF">
            <w:pPr>
              <w:pStyle w:val="Compact"/>
              <w:jc w:val="right"/>
            </w:pPr>
            <w:r w:rsidRPr="00F32E69">
              <w:t>0.3075</w:t>
            </w:r>
          </w:p>
        </w:tc>
        <w:tc>
          <w:tcPr>
            <w:tcW w:w="0" w:type="auto"/>
          </w:tcPr>
          <w:p w14:paraId="423D525C" w14:textId="77777777" w:rsidR="009B1AE8" w:rsidRPr="00F32E69" w:rsidRDefault="009B1AE8" w:rsidP="00A314DF">
            <w:pPr>
              <w:pStyle w:val="Compact"/>
              <w:jc w:val="right"/>
            </w:pPr>
            <w:r w:rsidRPr="00F32E69">
              <w:t>0.0000</w:t>
            </w:r>
          </w:p>
        </w:tc>
      </w:tr>
      <w:tr w:rsidR="00F32E69" w:rsidRPr="00F32E69" w14:paraId="44B223FB" w14:textId="77777777" w:rsidTr="00A314DF">
        <w:tc>
          <w:tcPr>
            <w:tcW w:w="0" w:type="auto"/>
          </w:tcPr>
          <w:p w14:paraId="5DA29524" w14:textId="77777777" w:rsidR="009B1AE8" w:rsidRPr="00F32E69" w:rsidRDefault="009B1AE8" w:rsidP="00A314DF">
            <w:pPr>
              <w:pStyle w:val="Compact"/>
            </w:pPr>
            <w:r w:rsidRPr="00F32E69">
              <w:t>Q</w:t>
            </w:r>
          </w:p>
        </w:tc>
        <w:tc>
          <w:tcPr>
            <w:tcW w:w="0" w:type="auto"/>
          </w:tcPr>
          <w:p w14:paraId="41406397" w14:textId="77777777" w:rsidR="009B1AE8" w:rsidRPr="00F32E69" w:rsidRDefault="009B1AE8" w:rsidP="00A314DF">
            <w:pPr>
              <w:pStyle w:val="Compact"/>
              <w:jc w:val="right"/>
            </w:pPr>
            <w:r w:rsidRPr="00F32E69">
              <w:t>-1.7723</w:t>
            </w:r>
          </w:p>
        </w:tc>
        <w:tc>
          <w:tcPr>
            <w:tcW w:w="0" w:type="auto"/>
          </w:tcPr>
          <w:p w14:paraId="5E3965B4" w14:textId="77777777" w:rsidR="009B1AE8" w:rsidRPr="00F32E69" w:rsidRDefault="009B1AE8" w:rsidP="00A314DF">
            <w:pPr>
              <w:pStyle w:val="Compact"/>
              <w:jc w:val="right"/>
            </w:pPr>
            <w:r w:rsidRPr="00F32E69">
              <w:t>-3.0322</w:t>
            </w:r>
          </w:p>
        </w:tc>
        <w:tc>
          <w:tcPr>
            <w:tcW w:w="0" w:type="auto"/>
          </w:tcPr>
          <w:p w14:paraId="5AFFA007" w14:textId="77777777" w:rsidR="009B1AE8" w:rsidRPr="00F32E69" w:rsidRDefault="009B1AE8" w:rsidP="00A314DF">
            <w:pPr>
              <w:pStyle w:val="Compact"/>
              <w:jc w:val="right"/>
            </w:pPr>
            <w:r w:rsidRPr="00F32E69">
              <w:t>-0.5123</w:t>
            </w:r>
          </w:p>
        </w:tc>
        <w:tc>
          <w:tcPr>
            <w:tcW w:w="0" w:type="auto"/>
          </w:tcPr>
          <w:p w14:paraId="1BAB0D21" w14:textId="77777777" w:rsidR="009B1AE8" w:rsidRPr="00F32E69" w:rsidRDefault="009B1AE8" w:rsidP="00A314DF">
            <w:pPr>
              <w:pStyle w:val="Compact"/>
              <w:jc w:val="right"/>
            </w:pPr>
            <w:r w:rsidRPr="00F32E69">
              <w:t>0.6428</w:t>
            </w:r>
          </w:p>
        </w:tc>
        <w:tc>
          <w:tcPr>
            <w:tcW w:w="0" w:type="auto"/>
          </w:tcPr>
          <w:p w14:paraId="0C2363A3" w14:textId="77777777" w:rsidR="009B1AE8" w:rsidRPr="00F32E69" w:rsidRDefault="009B1AE8" w:rsidP="00A314DF">
            <w:pPr>
              <w:pStyle w:val="Compact"/>
              <w:jc w:val="right"/>
            </w:pPr>
            <w:r w:rsidRPr="00F32E69">
              <w:t>0.0058</w:t>
            </w:r>
          </w:p>
        </w:tc>
      </w:tr>
    </w:tbl>
    <w:p w14:paraId="011B1DC4" w14:textId="77777777" w:rsidR="009B1AE8" w:rsidRPr="00F32E69" w:rsidRDefault="009B1AE8" w:rsidP="009B1AE8">
      <w:pPr>
        <w:pStyle w:val="BodyText"/>
      </w:pPr>
      <w:r w:rsidRPr="00F32E69">
        <w:rPr>
          <w:i/>
          <w:iCs/>
        </w:rPr>
        <w:t>Model diagnostics: Log-likelihood = -143.78; AIC = 293.57; BIC = 299.64</w:t>
      </w:r>
    </w:p>
    <w:p w14:paraId="0851A9EB" w14:textId="77777777" w:rsidR="009B1AE8" w:rsidRPr="00F32E69" w:rsidRDefault="009B1AE8" w:rsidP="009B1AE8">
      <w:r w:rsidRPr="00F32E69">
        <w:br w:type="page"/>
      </w:r>
    </w:p>
    <w:p w14:paraId="3FF05B50" w14:textId="77777777" w:rsidR="009B1AE8" w:rsidRPr="00F32E69" w:rsidRDefault="009B1AE8" w:rsidP="009B1AE8">
      <w:pPr>
        <w:pStyle w:val="Heading4"/>
        <w:rPr>
          <w:color w:val="auto"/>
        </w:rPr>
      </w:pPr>
      <w:r w:rsidRPr="00F32E69">
        <w:rPr>
          <w:color w:val="auto"/>
        </w:rPr>
        <w:lastRenderedPageBreak/>
        <w:t>Gompertz</w:t>
      </w:r>
    </w:p>
    <w:p w14:paraId="0EC335FD" w14:textId="1967E7CF" w:rsidR="00080C6E" w:rsidRPr="00F32E69" w:rsidRDefault="00080C6E" w:rsidP="00867597">
      <w:pPr>
        <w:pStyle w:val="BodyText"/>
        <w:rPr>
          <w:b/>
          <w:iCs/>
        </w:rPr>
      </w:pPr>
      <w:r w:rsidRPr="00F32E69">
        <w:rPr>
          <w:b/>
          <w:bCs/>
          <w:i/>
          <w:iCs/>
        </w:rPr>
        <w:t>Cohort 2 Figure 9: Kaplan-Meier plot with Gompertz fit</w:t>
      </w:r>
      <w:r w:rsidRPr="00F32E69">
        <w:rPr>
          <w:rFonts w:ascii="Cambria" w:eastAsia="Cambria" w:hAnsi="Cambria" w:cs="Cambria"/>
          <w:b/>
          <w:bCs/>
          <w:i/>
          <w:iCs/>
        </w:rPr>
        <w:t xml:space="preserve"> of </w:t>
      </w:r>
      <w:r w:rsidR="00C304F4" w:rsidRPr="00F32E69">
        <w:rPr>
          <w:b/>
          <w:bCs/>
          <w:i/>
          <w:iCs/>
        </w:rPr>
        <w:t xml:space="preserve">overall survival </w:t>
      </w:r>
      <w:r w:rsidR="00C304F4" w:rsidRPr="00F32E69">
        <w:rPr>
          <w:rFonts w:ascii="Cambria" w:eastAsia="Cambria" w:hAnsi="Cambria" w:cs="Cambria"/>
          <w:b/>
          <w:bCs/>
          <w:i/>
          <w:iCs/>
        </w:rPr>
        <w:t xml:space="preserve">amongst patients who have received </w:t>
      </w:r>
      <w:r w:rsidRPr="00F32E69">
        <w:rPr>
          <w:b/>
          <w:bCs/>
          <w:i/>
          <w:iCs/>
        </w:rPr>
        <w:t>blinatumomab</w:t>
      </w:r>
    </w:p>
    <w:tbl>
      <w:tblPr>
        <w:tblStyle w:val="Table"/>
        <w:tblW w:w="5000" w:type="pct"/>
        <w:tblLook w:val="0000" w:firstRow="0" w:lastRow="0" w:firstColumn="0" w:lastColumn="0" w:noHBand="0" w:noVBand="0"/>
      </w:tblPr>
      <w:tblGrid>
        <w:gridCol w:w="9360"/>
      </w:tblGrid>
      <w:tr w:rsidR="00F32E69" w:rsidRPr="00F32E69" w14:paraId="67F13004" w14:textId="77777777" w:rsidTr="00A314DF">
        <w:tc>
          <w:tcPr>
            <w:tcW w:w="0" w:type="auto"/>
          </w:tcPr>
          <w:p w14:paraId="02EBE139" w14:textId="77777777" w:rsidR="009B1AE8" w:rsidRPr="00F32E69" w:rsidRDefault="009B1AE8" w:rsidP="00A314DF">
            <w:pPr>
              <w:jc w:val="center"/>
            </w:pPr>
            <w:r w:rsidRPr="00F32E69">
              <w:rPr>
                <w:noProof/>
              </w:rPr>
              <w:drawing>
                <wp:inline distT="0" distB="0" distL="0" distR="0" wp14:anchorId="2C783FEB" wp14:editId="147E1E93">
                  <wp:extent cx="4620126" cy="3696101"/>
                  <wp:effectExtent l="0" t="0" r="0" b="0"/>
                  <wp:docPr id="74" name="Picture" descr="A Kaplan-Meier plot showing overall survival over time for individuals who have received blinatumomab, with an overlaid Gompertz model fit. "/>
                  <wp:cNvGraphicFramePr/>
                  <a:graphic xmlns:a="http://schemas.openxmlformats.org/drawingml/2006/main">
                    <a:graphicData uri="http://schemas.openxmlformats.org/drawingml/2006/picture">
                      <pic:pic xmlns:pic="http://schemas.openxmlformats.org/drawingml/2006/picture">
                        <pic:nvPicPr>
                          <pic:cNvPr id="74" name="Picture" descr="A Kaplan-Meier plot showing overall survival over time for individuals who have received blinatumomab, with an overlaid Gompertz model fit. "/>
                          <pic:cNvPicPr>
                            <a:picLocks noChangeAspect="1" noChangeArrowheads="1"/>
                          </pic:cNvPicPr>
                        </pic:nvPicPr>
                        <pic:blipFill>
                          <a:blip r:embed="rId28"/>
                          <a:stretch>
                            <a:fillRect/>
                          </a:stretch>
                        </pic:blipFill>
                        <pic:spPr bwMode="auto">
                          <a:xfrm>
                            <a:off x="0" y="0"/>
                            <a:ext cx="4620126" cy="3696101"/>
                          </a:xfrm>
                          <a:prstGeom prst="rect">
                            <a:avLst/>
                          </a:prstGeom>
                          <a:noFill/>
                          <a:ln w="9525">
                            <a:noFill/>
                            <a:headEnd/>
                            <a:tailEnd/>
                          </a:ln>
                        </pic:spPr>
                      </pic:pic>
                    </a:graphicData>
                  </a:graphic>
                </wp:inline>
              </w:drawing>
            </w:r>
          </w:p>
          <w:p w14:paraId="2E2BF8B6" w14:textId="0740BFC2" w:rsidR="009B1AE8" w:rsidRPr="00F32E69" w:rsidRDefault="009B1AE8" w:rsidP="00A314DF">
            <w:pPr>
              <w:pStyle w:val="ImageCaption"/>
              <w:spacing w:before="200"/>
            </w:pPr>
          </w:p>
        </w:tc>
      </w:tr>
    </w:tbl>
    <w:p w14:paraId="2ACBE864" w14:textId="77777777" w:rsidR="009B1AE8" w:rsidRPr="00F32E69" w:rsidRDefault="009B1AE8" w:rsidP="009B1AE8">
      <w:pPr>
        <w:pStyle w:val="BodyText"/>
      </w:pPr>
      <w:r w:rsidRPr="00F32E69">
        <w:t> </w:t>
      </w:r>
    </w:p>
    <w:p w14:paraId="6B9EFD1F" w14:textId="5A092907" w:rsidR="009B1AE8" w:rsidRPr="00F32E69" w:rsidRDefault="00080C6E" w:rsidP="009B1AE8">
      <w:pPr>
        <w:pStyle w:val="TableCaption"/>
      </w:pPr>
      <w:r w:rsidRPr="00F32E69">
        <w:t xml:space="preserve">Cohort 2 </w:t>
      </w:r>
      <w:r w:rsidR="009B1AE8" w:rsidRPr="00F32E69">
        <w:t>Table </w:t>
      </w:r>
      <w:r w:rsidR="00E840D7" w:rsidRPr="00F32E69">
        <w:t>9</w:t>
      </w:r>
      <w:r w:rsidR="009B1AE8" w:rsidRPr="00F32E69">
        <w:t>: Parameter estimates for Gompertz survival model</w:t>
      </w:r>
    </w:p>
    <w:tbl>
      <w:tblPr>
        <w:tblStyle w:val="Table"/>
        <w:tblW w:w="0" w:type="auto"/>
        <w:tblLook w:val="0020" w:firstRow="1" w:lastRow="0" w:firstColumn="0" w:lastColumn="0" w:noHBand="0" w:noVBand="0"/>
        <w:tblCaption w:val="Table 8: Parameter estimates for Gompertz survival model"/>
      </w:tblPr>
      <w:tblGrid>
        <w:gridCol w:w="1075"/>
        <w:gridCol w:w="1121"/>
        <w:gridCol w:w="1010"/>
        <w:gridCol w:w="1010"/>
        <w:gridCol w:w="1215"/>
        <w:gridCol w:w="983"/>
      </w:tblGrid>
      <w:tr w:rsidR="00F32E69" w:rsidRPr="00F32E69" w14:paraId="2978B5A5" w14:textId="77777777" w:rsidTr="00A314DF">
        <w:trPr>
          <w:cnfStyle w:val="100000000000" w:firstRow="1" w:lastRow="0" w:firstColumn="0" w:lastColumn="0" w:oddVBand="0" w:evenVBand="0" w:oddHBand="0" w:evenHBand="0" w:firstRowFirstColumn="0" w:firstRowLastColumn="0" w:lastRowFirstColumn="0" w:lastRowLastColumn="0"/>
          <w:tblHeader/>
        </w:trPr>
        <w:tc>
          <w:tcPr>
            <w:tcW w:w="0" w:type="auto"/>
          </w:tcPr>
          <w:p w14:paraId="4D618253" w14:textId="77777777" w:rsidR="009B1AE8" w:rsidRPr="00F32E69" w:rsidRDefault="009B1AE8" w:rsidP="00A314DF">
            <w:pPr>
              <w:pStyle w:val="Compact"/>
            </w:pPr>
            <w:r w:rsidRPr="00F32E69">
              <w:t>Variable</w:t>
            </w:r>
          </w:p>
        </w:tc>
        <w:tc>
          <w:tcPr>
            <w:tcW w:w="0" w:type="auto"/>
          </w:tcPr>
          <w:p w14:paraId="30D191EE" w14:textId="77777777" w:rsidR="009B1AE8" w:rsidRPr="00F32E69" w:rsidRDefault="009B1AE8" w:rsidP="00A314DF">
            <w:pPr>
              <w:pStyle w:val="Compact"/>
              <w:jc w:val="right"/>
            </w:pPr>
            <w:r w:rsidRPr="00F32E69">
              <w:t>Estimate</w:t>
            </w:r>
          </w:p>
        </w:tc>
        <w:tc>
          <w:tcPr>
            <w:tcW w:w="0" w:type="auto"/>
          </w:tcPr>
          <w:p w14:paraId="72D820E3" w14:textId="77777777" w:rsidR="009B1AE8" w:rsidRPr="00F32E69" w:rsidRDefault="009B1AE8" w:rsidP="00A314DF">
            <w:pPr>
              <w:pStyle w:val="Compact"/>
              <w:jc w:val="right"/>
            </w:pPr>
            <w:r w:rsidRPr="00F32E69">
              <w:t>L95%</w:t>
            </w:r>
          </w:p>
        </w:tc>
        <w:tc>
          <w:tcPr>
            <w:tcW w:w="0" w:type="auto"/>
          </w:tcPr>
          <w:p w14:paraId="6872A4F7" w14:textId="77777777" w:rsidR="009B1AE8" w:rsidRPr="00F32E69" w:rsidRDefault="009B1AE8" w:rsidP="00A314DF">
            <w:pPr>
              <w:pStyle w:val="Compact"/>
              <w:jc w:val="right"/>
            </w:pPr>
            <w:r w:rsidRPr="00F32E69">
              <w:t>U95%</w:t>
            </w:r>
          </w:p>
        </w:tc>
        <w:tc>
          <w:tcPr>
            <w:tcW w:w="0" w:type="auto"/>
          </w:tcPr>
          <w:p w14:paraId="112F855B" w14:textId="77777777" w:rsidR="009B1AE8" w:rsidRPr="00F32E69" w:rsidRDefault="009B1AE8" w:rsidP="00A314DF">
            <w:pPr>
              <w:pStyle w:val="Compact"/>
              <w:jc w:val="right"/>
            </w:pPr>
            <w:r w:rsidRPr="00F32E69">
              <w:t>Std. Error</w:t>
            </w:r>
          </w:p>
        </w:tc>
        <w:tc>
          <w:tcPr>
            <w:tcW w:w="0" w:type="auto"/>
          </w:tcPr>
          <w:p w14:paraId="671B9D91" w14:textId="77777777" w:rsidR="009B1AE8" w:rsidRPr="00F32E69" w:rsidRDefault="009B1AE8" w:rsidP="00A314DF">
            <w:pPr>
              <w:pStyle w:val="Compact"/>
              <w:jc w:val="right"/>
            </w:pPr>
            <w:r w:rsidRPr="00F32E69">
              <w:t>p-value</w:t>
            </w:r>
          </w:p>
        </w:tc>
      </w:tr>
      <w:tr w:rsidR="00F32E69" w:rsidRPr="00F32E69" w14:paraId="4928568C" w14:textId="77777777" w:rsidTr="00A314DF">
        <w:tc>
          <w:tcPr>
            <w:tcW w:w="0" w:type="auto"/>
          </w:tcPr>
          <w:p w14:paraId="16DD38FC" w14:textId="77777777" w:rsidR="009B1AE8" w:rsidRPr="00F32E69" w:rsidRDefault="009B1AE8" w:rsidP="00A314DF">
            <w:pPr>
              <w:pStyle w:val="Compact"/>
            </w:pPr>
            <w:r w:rsidRPr="00F32E69">
              <w:t>shape</w:t>
            </w:r>
          </w:p>
        </w:tc>
        <w:tc>
          <w:tcPr>
            <w:tcW w:w="0" w:type="auto"/>
          </w:tcPr>
          <w:p w14:paraId="3FDFDE4F" w14:textId="77777777" w:rsidR="009B1AE8" w:rsidRPr="00F32E69" w:rsidRDefault="009B1AE8" w:rsidP="00A314DF">
            <w:pPr>
              <w:pStyle w:val="Compact"/>
              <w:jc w:val="right"/>
            </w:pPr>
            <w:r w:rsidRPr="00F32E69">
              <w:t>-0.0483</w:t>
            </w:r>
          </w:p>
        </w:tc>
        <w:tc>
          <w:tcPr>
            <w:tcW w:w="0" w:type="auto"/>
          </w:tcPr>
          <w:p w14:paraId="0A605079" w14:textId="77777777" w:rsidR="009B1AE8" w:rsidRPr="00F32E69" w:rsidRDefault="009B1AE8" w:rsidP="00A314DF">
            <w:pPr>
              <w:pStyle w:val="Compact"/>
              <w:jc w:val="right"/>
            </w:pPr>
            <w:r w:rsidRPr="00F32E69">
              <w:t>-0.0725</w:t>
            </w:r>
          </w:p>
        </w:tc>
        <w:tc>
          <w:tcPr>
            <w:tcW w:w="0" w:type="auto"/>
          </w:tcPr>
          <w:p w14:paraId="2BFBE848" w14:textId="77777777" w:rsidR="009B1AE8" w:rsidRPr="00F32E69" w:rsidRDefault="009B1AE8" w:rsidP="00A314DF">
            <w:pPr>
              <w:pStyle w:val="Compact"/>
              <w:jc w:val="right"/>
            </w:pPr>
            <w:r w:rsidRPr="00F32E69">
              <w:t>-0.0241</w:t>
            </w:r>
          </w:p>
        </w:tc>
        <w:tc>
          <w:tcPr>
            <w:tcW w:w="0" w:type="auto"/>
          </w:tcPr>
          <w:p w14:paraId="7A0AE014" w14:textId="77777777" w:rsidR="009B1AE8" w:rsidRPr="00F32E69" w:rsidRDefault="009B1AE8" w:rsidP="00A314DF">
            <w:pPr>
              <w:pStyle w:val="Compact"/>
              <w:jc w:val="right"/>
            </w:pPr>
            <w:r w:rsidRPr="00F32E69">
              <w:t>0.0123</w:t>
            </w:r>
          </w:p>
        </w:tc>
        <w:tc>
          <w:tcPr>
            <w:tcW w:w="0" w:type="auto"/>
          </w:tcPr>
          <w:p w14:paraId="0E435BE0" w14:textId="77777777" w:rsidR="009B1AE8" w:rsidRPr="00F32E69" w:rsidRDefault="009B1AE8" w:rsidP="00A314DF">
            <w:pPr>
              <w:pStyle w:val="Compact"/>
              <w:jc w:val="right"/>
            </w:pPr>
            <w:r w:rsidRPr="00F32E69">
              <w:t>1e-04</w:t>
            </w:r>
          </w:p>
        </w:tc>
      </w:tr>
      <w:tr w:rsidR="00F32E69" w:rsidRPr="00F32E69" w14:paraId="3153A586" w14:textId="77777777" w:rsidTr="00A314DF">
        <w:tc>
          <w:tcPr>
            <w:tcW w:w="0" w:type="auto"/>
          </w:tcPr>
          <w:p w14:paraId="2B8D1F37" w14:textId="77777777" w:rsidR="009B1AE8" w:rsidRPr="00F32E69" w:rsidRDefault="009B1AE8" w:rsidP="00A314DF">
            <w:pPr>
              <w:pStyle w:val="Compact"/>
            </w:pPr>
            <w:r w:rsidRPr="00F32E69">
              <w:t>rate</w:t>
            </w:r>
          </w:p>
        </w:tc>
        <w:tc>
          <w:tcPr>
            <w:tcW w:w="0" w:type="auto"/>
          </w:tcPr>
          <w:p w14:paraId="5FF3391A" w14:textId="77777777" w:rsidR="009B1AE8" w:rsidRPr="00F32E69" w:rsidRDefault="009B1AE8" w:rsidP="00A314DF">
            <w:pPr>
              <w:pStyle w:val="Compact"/>
              <w:jc w:val="right"/>
            </w:pPr>
            <w:r w:rsidRPr="00F32E69">
              <w:t>0.0343</w:t>
            </w:r>
          </w:p>
        </w:tc>
        <w:tc>
          <w:tcPr>
            <w:tcW w:w="0" w:type="auto"/>
          </w:tcPr>
          <w:p w14:paraId="10E27629" w14:textId="77777777" w:rsidR="009B1AE8" w:rsidRPr="00F32E69" w:rsidRDefault="009B1AE8" w:rsidP="00A314DF">
            <w:pPr>
              <w:pStyle w:val="Compact"/>
              <w:jc w:val="right"/>
            </w:pPr>
            <w:r w:rsidRPr="00F32E69">
              <w:t>0.0202</w:t>
            </w:r>
          </w:p>
        </w:tc>
        <w:tc>
          <w:tcPr>
            <w:tcW w:w="0" w:type="auto"/>
          </w:tcPr>
          <w:p w14:paraId="5ADBC2F5" w14:textId="77777777" w:rsidR="009B1AE8" w:rsidRPr="00F32E69" w:rsidRDefault="009B1AE8" w:rsidP="00A314DF">
            <w:pPr>
              <w:pStyle w:val="Compact"/>
              <w:jc w:val="right"/>
            </w:pPr>
            <w:r w:rsidRPr="00F32E69">
              <w:t>0.0580</w:t>
            </w:r>
          </w:p>
        </w:tc>
        <w:tc>
          <w:tcPr>
            <w:tcW w:w="0" w:type="auto"/>
          </w:tcPr>
          <w:p w14:paraId="3BD31675" w14:textId="77777777" w:rsidR="009B1AE8" w:rsidRPr="00F32E69" w:rsidRDefault="009B1AE8" w:rsidP="00A314DF">
            <w:pPr>
              <w:pStyle w:val="Compact"/>
              <w:jc w:val="right"/>
            </w:pPr>
            <w:r w:rsidRPr="00F32E69">
              <w:t>0.0092</w:t>
            </w:r>
          </w:p>
        </w:tc>
        <w:tc>
          <w:tcPr>
            <w:tcW w:w="0" w:type="auto"/>
          </w:tcPr>
          <w:p w14:paraId="2C115E19" w14:textId="77777777" w:rsidR="009B1AE8" w:rsidRPr="00F32E69" w:rsidRDefault="009B1AE8" w:rsidP="00A314DF">
            <w:pPr>
              <w:pStyle w:val="Compact"/>
              <w:jc w:val="right"/>
            </w:pPr>
            <w:r w:rsidRPr="00F32E69">
              <w:t>2e-04</w:t>
            </w:r>
          </w:p>
        </w:tc>
      </w:tr>
    </w:tbl>
    <w:p w14:paraId="7101C13F" w14:textId="77777777" w:rsidR="009B1AE8" w:rsidRPr="00F32E69" w:rsidRDefault="009B1AE8" w:rsidP="009B1AE8">
      <w:pPr>
        <w:pStyle w:val="BodyText"/>
      </w:pPr>
      <w:r w:rsidRPr="00F32E69">
        <w:rPr>
          <w:i/>
          <w:iCs/>
        </w:rPr>
        <w:t>Model diagnostics: Log-likelihood = -143.39; AIC = 290.77; BIC = 294.82</w:t>
      </w:r>
    </w:p>
    <w:p w14:paraId="6B5F773C" w14:textId="77777777" w:rsidR="009B1AE8" w:rsidRPr="00F32E69" w:rsidRDefault="009B1AE8" w:rsidP="009B1AE8">
      <w:r w:rsidRPr="00F32E69">
        <w:br w:type="page"/>
      </w:r>
    </w:p>
    <w:p w14:paraId="486E219F" w14:textId="77777777" w:rsidR="009B1AE8" w:rsidRPr="00F32E69" w:rsidRDefault="009B1AE8" w:rsidP="009B1AE8">
      <w:pPr>
        <w:pStyle w:val="Heading3"/>
        <w:rPr>
          <w:color w:val="auto"/>
        </w:rPr>
      </w:pPr>
      <w:bookmarkStart w:id="35" w:name="stem-cell-transplants"/>
      <w:bookmarkEnd w:id="34"/>
      <w:r w:rsidRPr="00F32E69">
        <w:rPr>
          <w:color w:val="auto"/>
        </w:rPr>
        <w:lastRenderedPageBreak/>
        <w:t>Stem Cell Transplants</w:t>
      </w:r>
    </w:p>
    <w:p w14:paraId="440CAF19" w14:textId="77777777" w:rsidR="009B1AE8" w:rsidRPr="00F32E69" w:rsidRDefault="009B1AE8" w:rsidP="009B1AE8">
      <w:pPr>
        <w:pStyle w:val="FirstParagraph"/>
      </w:pPr>
      <w:r w:rsidRPr="00F32E69">
        <w:t>30 of the 56 cases in this cohort had a stem cell transplant following the first administration of blinatumomab</w:t>
      </w:r>
    </w:p>
    <w:p w14:paraId="35A61FDC" w14:textId="0A944259" w:rsidR="009B1AE8" w:rsidRPr="00F32E69" w:rsidRDefault="009B1AE8" w:rsidP="009B1AE8">
      <w:pPr>
        <w:pStyle w:val="Heading3"/>
        <w:rPr>
          <w:color w:val="auto"/>
        </w:rPr>
      </w:pPr>
      <w:bookmarkStart w:id="36" w:name="time-on-treatment"/>
      <w:bookmarkEnd w:id="35"/>
      <w:r w:rsidRPr="00F32E69">
        <w:rPr>
          <w:color w:val="auto"/>
        </w:rPr>
        <w:t>Time</w:t>
      </w:r>
      <w:r w:rsidR="00423AC7" w:rsidRPr="00F32E69">
        <w:rPr>
          <w:color w:val="auto"/>
        </w:rPr>
        <w:t>-</w:t>
      </w:r>
      <w:r w:rsidRPr="00F32E69">
        <w:rPr>
          <w:color w:val="auto"/>
        </w:rPr>
        <w:t>on</w:t>
      </w:r>
      <w:r w:rsidR="00423AC7" w:rsidRPr="00F32E69">
        <w:rPr>
          <w:color w:val="auto"/>
        </w:rPr>
        <w:t>-</w:t>
      </w:r>
      <w:r w:rsidRPr="00F32E69">
        <w:rPr>
          <w:color w:val="auto"/>
        </w:rPr>
        <w:t>Treatment</w:t>
      </w:r>
    </w:p>
    <w:p w14:paraId="17EC4B5A" w14:textId="5069C145" w:rsidR="00080C6E" w:rsidRPr="00F32E69" w:rsidRDefault="00080C6E" w:rsidP="00867597">
      <w:pPr>
        <w:pStyle w:val="BodyText"/>
        <w:rPr>
          <w:i/>
          <w:iCs/>
        </w:rPr>
      </w:pPr>
      <w:r w:rsidRPr="00F32E69">
        <w:rPr>
          <w:b/>
          <w:bCs/>
          <w:i/>
          <w:iCs/>
        </w:rPr>
        <w:t xml:space="preserve">Cohort 2 Figure 10: </w:t>
      </w:r>
      <w:r w:rsidR="00C304F4" w:rsidRPr="00F32E69">
        <w:rPr>
          <w:b/>
          <w:bCs/>
          <w:i/>
          <w:iCs/>
        </w:rPr>
        <w:t xml:space="preserve">Kaplan-Meier plot of </w:t>
      </w:r>
      <w:r w:rsidR="004A4F15" w:rsidRPr="00F32E69">
        <w:rPr>
          <w:b/>
          <w:bCs/>
          <w:i/>
          <w:iCs/>
        </w:rPr>
        <w:t>t</w:t>
      </w:r>
      <w:r w:rsidRPr="00F32E69">
        <w:rPr>
          <w:b/>
          <w:bCs/>
          <w:i/>
          <w:iCs/>
        </w:rPr>
        <w:t>ime</w:t>
      </w:r>
      <w:r w:rsidR="00423AC7" w:rsidRPr="00F32E69">
        <w:rPr>
          <w:b/>
          <w:bCs/>
          <w:i/>
          <w:iCs/>
        </w:rPr>
        <w:t>-</w:t>
      </w:r>
      <w:r w:rsidRPr="00F32E69">
        <w:rPr>
          <w:b/>
          <w:bCs/>
          <w:i/>
          <w:iCs/>
        </w:rPr>
        <w:t>on</w:t>
      </w:r>
      <w:r w:rsidR="00423AC7" w:rsidRPr="00F32E69">
        <w:rPr>
          <w:b/>
          <w:bCs/>
          <w:i/>
          <w:iCs/>
        </w:rPr>
        <w:t>-</w:t>
      </w:r>
      <w:r w:rsidRPr="00F32E69">
        <w:rPr>
          <w:b/>
          <w:bCs/>
          <w:i/>
          <w:iCs/>
        </w:rPr>
        <w:t>treatment</w:t>
      </w:r>
      <w:r w:rsidR="004A4F15" w:rsidRPr="00F32E69">
        <w:rPr>
          <w:b/>
          <w:bCs/>
          <w:i/>
          <w:iCs/>
        </w:rPr>
        <w:t xml:space="preserve"> amongst patients who have received</w:t>
      </w:r>
      <w:r w:rsidRPr="00F32E69">
        <w:rPr>
          <w:b/>
          <w:bCs/>
          <w:i/>
          <w:iCs/>
        </w:rPr>
        <w:t xml:space="preserve"> Blinatumumab</w:t>
      </w:r>
    </w:p>
    <w:tbl>
      <w:tblPr>
        <w:tblStyle w:val="Table"/>
        <w:tblW w:w="5000" w:type="pct"/>
        <w:tblLook w:val="0000" w:firstRow="0" w:lastRow="0" w:firstColumn="0" w:lastColumn="0" w:noHBand="0" w:noVBand="0"/>
      </w:tblPr>
      <w:tblGrid>
        <w:gridCol w:w="9360"/>
      </w:tblGrid>
      <w:tr w:rsidR="00F32E69" w:rsidRPr="00F32E69" w14:paraId="65420690" w14:textId="77777777" w:rsidTr="00A314DF">
        <w:tc>
          <w:tcPr>
            <w:tcW w:w="0" w:type="auto"/>
          </w:tcPr>
          <w:p w14:paraId="4121033A" w14:textId="77777777" w:rsidR="009B1AE8" w:rsidRPr="00F32E69" w:rsidRDefault="009B1AE8" w:rsidP="00A314DF">
            <w:pPr>
              <w:jc w:val="center"/>
            </w:pPr>
            <w:bookmarkStart w:id="37" w:name="fig-km-tt"/>
            <w:r w:rsidRPr="00F32E69">
              <w:rPr>
                <w:noProof/>
              </w:rPr>
              <w:drawing>
                <wp:inline distT="0" distB="0" distL="0" distR="0" wp14:anchorId="4E70DF23" wp14:editId="3C907D7A">
                  <wp:extent cx="4620126" cy="3696101"/>
                  <wp:effectExtent l="0" t="0" r="0" b="0"/>
                  <wp:docPr id="82" name="Picture" descr="A Kaplan-Meier plot showing time-on-treatment for individuals who have received blinatumomab"/>
                  <wp:cNvGraphicFramePr/>
                  <a:graphic xmlns:a="http://schemas.openxmlformats.org/drawingml/2006/main">
                    <a:graphicData uri="http://schemas.openxmlformats.org/drawingml/2006/picture">
                      <pic:pic xmlns:pic="http://schemas.openxmlformats.org/drawingml/2006/picture">
                        <pic:nvPicPr>
                          <pic:cNvPr id="82" name="Picture" descr="A Kaplan-Meier plot showing time-on-treatment for individuals who have received blinatumomab"/>
                          <pic:cNvPicPr>
                            <a:picLocks noChangeAspect="1" noChangeArrowheads="1"/>
                          </pic:cNvPicPr>
                        </pic:nvPicPr>
                        <pic:blipFill>
                          <a:blip r:embed="rId29"/>
                          <a:stretch>
                            <a:fillRect/>
                          </a:stretch>
                        </pic:blipFill>
                        <pic:spPr bwMode="auto">
                          <a:xfrm>
                            <a:off x="0" y="0"/>
                            <a:ext cx="4620126" cy="3696101"/>
                          </a:xfrm>
                          <a:prstGeom prst="rect">
                            <a:avLst/>
                          </a:prstGeom>
                          <a:noFill/>
                          <a:ln w="9525">
                            <a:noFill/>
                            <a:headEnd/>
                            <a:tailEnd/>
                          </a:ln>
                        </pic:spPr>
                      </pic:pic>
                    </a:graphicData>
                  </a:graphic>
                </wp:inline>
              </w:drawing>
            </w:r>
          </w:p>
          <w:p w14:paraId="2A85ACC7" w14:textId="042851CE" w:rsidR="009B1AE8" w:rsidRPr="00F32E69" w:rsidRDefault="009B1AE8" w:rsidP="00A314DF">
            <w:pPr>
              <w:pStyle w:val="ImageCaption"/>
              <w:spacing w:before="200"/>
            </w:pPr>
          </w:p>
        </w:tc>
        <w:bookmarkEnd w:id="37"/>
      </w:tr>
    </w:tbl>
    <w:p w14:paraId="3102ABF6" w14:textId="298C4BAD" w:rsidR="009B1AE8" w:rsidRPr="00F32E69" w:rsidRDefault="004A4F15" w:rsidP="009B1AE8">
      <w:pPr>
        <w:pStyle w:val="BodyText"/>
      </w:pPr>
      <w:r w:rsidRPr="00F32E69">
        <w:t>The m</w:t>
      </w:r>
      <w:r w:rsidR="009B1AE8" w:rsidRPr="00F32E69">
        <w:t>edian time</w:t>
      </w:r>
      <w:r w:rsidR="00423AC7" w:rsidRPr="00F32E69">
        <w:t>-</w:t>
      </w:r>
      <w:r w:rsidR="009B1AE8" w:rsidRPr="00F32E69">
        <w:t>on</w:t>
      </w:r>
      <w:r w:rsidR="00423AC7" w:rsidRPr="00F32E69">
        <w:t>-</w:t>
      </w:r>
      <w:r w:rsidR="009B1AE8" w:rsidRPr="00F32E69">
        <w:t>treatment was 47 days</w:t>
      </w:r>
      <w:bookmarkEnd w:id="36"/>
      <w:r w:rsidRPr="00F32E69">
        <w:t>.</w:t>
      </w:r>
    </w:p>
    <w:p w14:paraId="0B5CF760" w14:textId="3AE135A9" w:rsidR="00AD0B98" w:rsidRPr="00F32E69" w:rsidRDefault="00AD0B98" w:rsidP="00867597">
      <w:bookmarkStart w:id="38" w:name="references"/>
      <w:bookmarkStart w:id="39" w:name="refs"/>
      <w:bookmarkStart w:id="40" w:name="ref-parkerEffectMitoxantroneOutcome2010"/>
      <w:r w:rsidRPr="00F32E69">
        <w:t xml:space="preserve"> </w:t>
      </w:r>
    </w:p>
    <w:bookmarkEnd w:id="38"/>
    <w:bookmarkEnd w:id="39"/>
    <w:bookmarkEnd w:id="40"/>
    <w:p w14:paraId="2A3E142F" w14:textId="77777777" w:rsidR="009B1AE8" w:rsidRPr="00F32E69" w:rsidRDefault="009B1AE8">
      <w:pPr>
        <w:pStyle w:val="BodyText"/>
      </w:pPr>
    </w:p>
    <w:sectPr w:rsidR="009B1AE8" w:rsidRPr="00F32E69">
      <w:headerReference w:type="default" r:id="rId30"/>
      <w:footerReference w:type="default" r:id="rId31"/>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B4A010" w14:textId="77777777" w:rsidR="0093476F" w:rsidRDefault="0093476F">
      <w:pPr>
        <w:spacing w:after="0"/>
      </w:pPr>
      <w:r>
        <w:separator/>
      </w:r>
    </w:p>
  </w:endnote>
  <w:endnote w:type="continuationSeparator" w:id="0">
    <w:p w14:paraId="712B08A5" w14:textId="77777777" w:rsidR="0093476F" w:rsidRDefault="0093476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nsolas">
    <w:panose1 w:val="020B0609020204030204"/>
    <w:charset w:val="00"/>
    <w:family w:val="modern"/>
    <w:pitch w:val="fixed"/>
    <w:sig w:usb0="E00006FF" w:usb1="0000F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D4F3E8" w14:textId="6665EE4C" w:rsidR="00B85F96" w:rsidRDefault="00B85F96" w:rsidP="0048345E">
    <w:pPr>
      <w:pStyle w:val="Footer"/>
      <w:jc w:val="right"/>
    </w:pPr>
    <w:r>
      <w:t xml:space="preserve">Page </w:t>
    </w:r>
    <w:r>
      <w:rPr>
        <w:b/>
        <w:bCs/>
      </w:rPr>
      <w:fldChar w:fldCharType="begin"/>
    </w:r>
    <w:r>
      <w:rPr>
        <w:b/>
        <w:bCs/>
      </w:rPr>
      <w:instrText xml:space="preserve"> PAGE  \* Arabic  \* MERGEFORMAT </w:instrText>
    </w:r>
    <w:r>
      <w:rPr>
        <w:b/>
        <w:bCs/>
      </w:rPr>
      <w:fldChar w:fldCharType="separate"/>
    </w:r>
    <w:r>
      <w:rPr>
        <w:b/>
        <w:bCs/>
        <w:noProof/>
      </w:rPr>
      <w:t>1</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Pr>
        <w:b/>
        <w:bCs/>
        <w:noProof/>
      </w:rPr>
      <w:t>2</w:t>
    </w:r>
    <w:r>
      <w:rPr>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E65678" w14:textId="77777777" w:rsidR="0093476F" w:rsidRDefault="0093476F">
      <w:r>
        <w:separator/>
      </w:r>
    </w:p>
  </w:footnote>
  <w:footnote w:type="continuationSeparator" w:id="0">
    <w:p w14:paraId="7C3E1267" w14:textId="77777777" w:rsidR="0093476F" w:rsidRDefault="0093476F">
      <w:r>
        <w:continuationSeparator/>
      </w:r>
    </w:p>
  </w:footnote>
  <w:footnote w:id="1">
    <w:p w14:paraId="0AB60A8B" w14:textId="77777777" w:rsidR="0019318C" w:rsidRPr="00F32E69" w:rsidRDefault="0019318C" w:rsidP="0019318C">
      <w:pPr>
        <w:pStyle w:val="FootnoteText"/>
        <w:rPr>
          <w:lang w:val="en-GB"/>
        </w:rPr>
      </w:pPr>
      <w:r w:rsidRPr="00F32E69">
        <w:rPr>
          <w:rStyle w:val="FootnoteReference"/>
        </w:rPr>
        <w:footnoteRef/>
      </w:r>
      <w:r w:rsidRPr="00F32E69">
        <w:t xml:space="preserve"> </w:t>
      </w:r>
      <w:hyperlink r:id="rId1" w:history="1">
        <w:r w:rsidRPr="00F32E69">
          <w:rPr>
            <w:rStyle w:val="Hyperlink"/>
            <w:color w:val="auto"/>
          </w:rPr>
          <w:t>Data Resource Profile: The Systemic Anti-Cancer Therapy (SACT) dataset | International Journal of Epidemiology | Oxford Academic</w:t>
        </w:r>
      </w:hyperlink>
    </w:p>
  </w:footnote>
  <w:footnote w:id="2">
    <w:p w14:paraId="163D1245" w14:textId="2C64F5B2" w:rsidR="00F17538" w:rsidRPr="00867597" w:rsidRDefault="00F17538">
      <w:pPr>
        <w:pStyle w:val="FootnoteText"/>
        <w:rPr>
          <w:lang w:val="en-GB"/>
        </w:rPr>
      </w:pPr>
      <w:r>
        <w:rPr>
          <w:rStyle w:val="FootnoteReference"/>
        </w:rPr>
        <w:footnoteRef/>
      </w:r>
      <w:r>
        <w:t xml:space="preserve"> </w:t>
      </w:r>
      <w:hyperlink r:id="rId2" w:history="1">
        <w:r w:rsidRPr="00C246DE">
          <w:rPr>
            <w:rStyle w:val="Hyperlink"/>
            <w:color w:val="auto"/>
          </w:rPr>
          <w:t>Overview | Tisagenlecleucel for treating relapsed or refractory B-cell acute lymphoblastic leukaemia in people 25 years and under | Guidance | NICE</w:t>
        </w:r>
      </w:hyperlink>
    </w:p>
  </w:footnote>
  <w:footnote w:id="3">
    <w:p w14:paraId="051DCB9F" w14:textId="442645C4" w:rsidR="0000335D" w:rsidRPr="00867597" w:rsidRDefault="0000335D">
      <w:pPr>
        <w:pStyle w:val="FootnoteText"/>
        <w:rPr>
          <w:lang w:val="en-GB"/>
        </w:rPr>
      </w:pPr>
      <w:r>
        <w:rPr>
          <w:rStyle w:val="FootnoteReference"/>
        </w:rPr>
        <w:footnoteRef/>
      </w:r>
      <w:r>
        <w:t xml:space="preserve"> </w:t>
      </w:r>
      <w:hyperlink r:id="rId3" w:history="1">
        <w:r w:rsidRPr="00C246DE">
          <w:rPr>
            <w:rStyle w:val="Hyperlink"/>
            <w:color w:val="auto"/>
          </w:rPr>
          <w:t>Overview | Tisagenlecleucel for treating relapsed or refractory B-cell acute lymphoblastic leukaemia in people 25 years and under | Guidance | NICE</w:t>
        </w:r>
      </w:hyperlink>
    </w:p>
  </w:footnote>
  <w:footnote w:id="4">
    <w:p w14:paraId="15AFE023" w14:textId="1D251472" w:rsidR="004D4398" w:rsidRPr="003A5D4A" w:rsidRDefault="004D4398">
      <w:pPr>
        <w:pStyle w:val="FootnoteText"/>
        <w:rPr>
          <w:lang w:val="en-GB"/>
        </w:rPr>
      </w:pPr>
      <w:r>
        <w:rPr>
          <w:rStyle w:val="FootnoteReference"/>
        </w:rPr>
        <w:footnoteRef/>
      </w:r>
      <w:r>
        <w:t xml:space="preserve"> </w:t>
      </w:r>
      <w:r w:rsidRPr="003A5D4A">
        <w:t xml:space="preserve">von Stackelberg A, Locatelli F, Zugmaier G, Handgretinger R, Trippett TM, Rizzari C, et al. </w:t>
      </w:r>
      <w:hyperlink r:id="rId4">
        <w:r w:rsidRPr="003A5D4A">
          <w:rPr>
            <w:rStyle w:val="Hyperlink"/>
            <w:color w:val="auto"/>
          </w:rPr>
          <w:t>Phase I/Phase II Study of Blinatumomab in Pediatric Patients With Relapsed/Refractory Acute Lymphoblastic Leukemia</w:t>
        </w:r>
      </w:hyperlink>
      <w:r w:rsidRPr="003A5D4A">
        <w:t>. Journal of Clinical Oncology: Official Journal of the American Society of Clinical Oncology. 2016 Dec;34(36):4381–9.</w:t>
      </w:r>
    </w:p>
  </w:footnote>
  <w:footnote w:id="5">
    <w:p w14:paraId="1AED78D8" w14:textId="21501990" w:rsidR="006463B8" w:rsidRPr="003A5D4A" w:rsidRDefault="006463B8">
      <w:pPr>
        <w:pStyle w:val="FootnoteText"/>
        <w:rPr>
          <w:lang w:val="en-GB"/>
        </w:rPr>
      </w:pPr>
      <w:r w:rsidRPr="003A5D4A">
        <w:rPr>
          <w:rStyle w:val="FootnoteReference"/>
        </w:rPr>
        <w:footnoteRef/>
      </w:r>
      <w:r w:rsidRPr="003A5D4A">
        <w:t xml:space="preserve"> </w:t>
      </w:r>
      <w:hyperlink r:id="rId5" w:history="1">
        <w:r w:rsidRPr="003A5D4A">
          <w:rPr>
            <w:rStyle w:val="Hyperlink"/>
            <w:color w:val="auto"/>
          </w:rPr>
          <w:t>Overview | Blinatumomab for treating acute lymphoblastic leukaemia in remission with minimal residual disease activity | Guidance | NICE</w:t>
        </w:r>
      </w:hyperlink>
    </w:p>
  </w:footnote>
  <w:footnote w:id="6">
    <w:p w14:paraId="383719AF" w14:textId="2F37946D" w:rsidR="0044605C" w:rsidRPr="003A5D4A" w:rsidRDefault="0044605C">
      <w:pPr>
        <w:pStyle w:val="FootnoteText"/>
        <w:rPr>
          <w:lang w:val="en-GB"/>
        </w:rPr>
      </w:pPr>
      <w:r w:rsidRPr="003A5D4A">
        <w:rPr>
          <w:rStyle w:val="FootnoteReference"/>
        </w:rPr>
        <w:footnoteRef/>
      </w:r>
      <w:r w:rsidRPr="003A5D4A">
        <w:t xml:space="preserve"> Parker C, Waters R, Leighton C, Hancock J, Sutton R, Moorman AV, et al. </w:t>
      </w:r>
      <w:hyperlink r:id="rId6">
        <w:r w:rsidRPr="003A5D4A">
          <w:rPr>
            <w:rStyle w:val="Hyperlink"/>
            <w:color w:val="auto"/>
          </w:rPr>
          <w:t>Effect of mitoxantrone on outcome of children with first relapse of acute lymphoblastic leukaemia (ALL R3): An open-label randomised trial</w:t>
        </w:r>
      </w:hyperlink>
      <w:r w:rsidRPr="003A5D4A">
        <w:t>. Lancet (London, England). 2010 Dec;376(9757):2009–17</w:t>
      </w:r>
    </w:p>
  </w:footnote>
  <w:footnote w:id="7">
    <w:p w14:paraId="70837B32" w14:textId="2B709F5F" w:rsidR="00F175B6" w:rsidRPr="00867597" w:rsidRDefault="00F175B6">
      <w:pPr>
        <w:pStyle w:val="FootnoteText"/>
        <w:rPr>
          <w:lang w:val="en-GB"/>
        </w:rPr>
      </w:pPr>
      <w:r w:rsidRPr="003A5D4A">
        <w:rPr>
          <w:rStyle w:val="FootnoteReference"/>
        </w:rPr>
        <w:footnoteRef/>
      </w:r>
      <w:r w:rsidRPr="003A5D4A">
        <w:t xml:space="preserve"> </w:t>
      </w:r>
      <w:hyperlink r:id="rId7" w:history="1">
        <w:r w:rsidRPr="003A5D4A">
          <w:rPr>
            <w:rStyle w:val="Hyperlink"/>
            <w:color w:val="auto"/>
          </w:rPr>
          <w:t>Overview | Tisagenlecleucel for treating relapsed or refractory B-cell acute lymphoblastic leukaemia in people 25 years and under | Guidance | NICE</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A95008" w14:textId="66488744" w:rsidR="00B85F96" w:rsidRDefault="00B85F96">
    <w:pPr>
      <w:pStyle w:val="Header"/>
    </w:pPr>
    <w:r w:rsidRPr="000E748E">
      <w:rPr>
        <w:noProof/>
      </w:rPr>
      <w:drawing>
        <wp:anchor distT="0" distB="0" distL="114300" distR="114300" simplePos="0" relativeHeight="251658241" behindDoc="1" locked="0" layoutInCell="1" allowOverlap="1" wp14:anchorId="077A1984" wp14:editId="72BC945E">
          <wp:simplePos x="0" y="0"/>
          <wp:positionH relativeFrom="column">
            <wp:posOffset>4340225</wp:posOffset>
          </wp:positionH>
          <wp:positionV relativeFrom="paragraph">
            <wp:posOffset>-117475</wp:posOffset>
          </wp:positionV>
          <wp:extent cx="1590675" cy="534319"/>
          <wp:effectExtent l="0" t="0" r="0" b="0"/>
          <wp:wrapTight wrapText="bothSides">
            <wp:wrapPolygon edited="0">
              <wp:start x="0" y="0"/>
              <wp:lineTo x="0" y="20804"/>
              <wp:lineTo x="21212" y="20804"/>
              <wp:lineTo x="21212" y="0"/>
              <wp:lineTo x="0" y="0"/>
            </wp:wrapPolygon>
          </wp:wrapTight>
          <wp:docPr id="398737293"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8737293"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90675" cy="534319"/>
                  </a:xfrm>
                  <a:prstGeom prst="rect">
                    <a:avLst/>
                  </a:prstGeom>
                  <a:noFill/>
                  <a:ln>
                    <a:noFill/>
                  </a:ln>
                </pic:spPr>
              </pic:pic>
            </a:graphicData>
          </a:graphic>
        </wp:anchor>
      </w:drawing>
    </w:r>
    <w:r>
      <w:rPr>
        <w:noProof/>
      </w:rPr>
      <w:drawing>
        <wp:anchor distT="0" distB="0" distL="114300" distR="114300" simplePos="0" relativeHeight="251658240" behindDoc="0" locked="0" layoutInCell="1" allowOverlap="1" wp14:anchorId="62821129" wp14:editId="656B9408">
          <wp:simplePos x="0" y="0"/>
          <wp:positionH relativeFrom="margin">
            <wp:posOffset>0</wp:posOffset>
          </wp:positionH>
          <wp:positionV relativeFrom="topMargin">
            <wp:posOffset>457200</wp:posOffset>
          </wp:positionV>
          <wp:extent cx="2444400" cy="252000"/>
          <wp:effectExtent l="0" t="0" r="0" b="0"/>
          <wp:wrapNone/>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2">
                    <a:extLst>
                      <a:ext uri="{28A0092B-C50C-407E-A947-70E740481C1C}">
                        <a14:useLocalDpi xmlns:a14="http://schemas.microsoft.com/office/drawing/2010/main" val="0"/>
                      </a:ext>
                    </a:extLst>
                  </a:blip>
                  <a:stretch>
                    <a:fillRect/>
                  </a:stretch>
                </pic:blipFill>
                <pic:spPr>
                  <a:xfrm>
                    <a:off x="0" y="0"/>
                    <a:ext cx="2444400" cy="2520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4326761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93C4657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10D284FE"/>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EF27910"/>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306A23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6FBE254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3FE6E55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80E0EC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BEF8EA0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49D61DB8"/>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A990"/>
    <w:multiLevelType w:val="multilevel"/>
    <w:tmpl w:val="F5984D1C"/>
    <w:lvl w:ilvl="0">
      <w:numFmt w:val="bullet"/>
      <w:lvlText w:val=" "/>
      <w:lvlJc w:val="left"/>
      <w:pPr>
        <w:ind w:left="720" w:hanging="480"/>
      </w:pPr>
    </w:lvl>
    <w:lvl w:ilvl="1">
      <w:numFmt w:val="bullet"/>
      <w:lvlText w:val=" "/>
      <w:lvlJc w:val="left"/>
      <w:pPr>
        <w:ind w:left="1440" w:hanging="480"/>
      </w:pPr>
    </w:lvl>
    <w:lvl w:ilvl="2">
      <w:numFmt w:val="bullet"/>
      <w:lvlText w:val=" "/>
      <w:lvlJc w:val="left"/>
      <w:pPr>
        <w:ind w:left="2160" w:hanging="480"/>
      </w:pPr>
    </w:lvl>
    <w:lvl w:ilvl="3">
      <w:numFmt w:val="bullet"/>
      <w:lvlText w:val=" "/>
      <w:lvlJc w:val="left"/>
      <w:pPr>
        <w:ind w:left="2880" w:hanging="480"/>
      </w:pPr>
    </w:lvl>
    <w:lvl w:ilvl="4">
      <w:numFmt w:val="bullet"/>
      <w:lvlText w:val=" "/>
      <w:lvlJc w:val="left"/>
      <w:pPr>
        <w:ind w:left="3600" w:hanging="480"/>
      </w:pPr>
    </w:lvl>
    <w:lvl w:ilvl="5">
      <w:numFmt w:val="bullet"/>
      <w:lvlText w:val=" "/>
      <w:lvlJc w:val="left"/>
      <w:pPr>
        <w:ind w:left="4320" w:hanging="480"/>
      </w:pPr>
    </w:lvl>
    <w:lvl w:ilvl="6">
      <w:numFmt w:val="bullet"/>
      <w:lvlText w:val=" "/>
      <w:lvlJc w:val="left"/>
      <w:pPr>
        <w:ind w:left="5040" w:hanging="480"/>
      </w:pPr>
    </w:lvl>
    <w:lvl w:ilvl="7">
      <w:numFmt w:val="bullet"/>
      <w:lvlText w:val=" "/>
      <w:lvlJc w:val="left"/>
      <w:pPr>
        <w:ind w:left="5760" w:hanging="480"/>
      </w:pPr>
    </w:lvl>
    <w:lvl w:ilvl="8">
      <w:numFmt w:val="bullet"/>
      <w:lvlText w:val=" "/>
      <w:lvlJc w:val="left"/>
      <w:pPr>
        <w:ind w:left="6480" w:hanging="480"/>
      </w:pPr>
    </w:lvl>
  </w:abstractNum>
  <w:abstractNum w:abstractNumId="11" w15:restartNumberingAfterBreak="0">
    <w:nsid w:val="0000A991"/>
    <w:multiLevelType w:val="multilevel"/>
    <w:tmpl w:val="655012FE"/>
    <w:lvl w:ilvl="0">
      <w:numFmt w:val="bullet"/>
      <w:lvlText w:val="•"/>
      <w:lvlJc w:val="left"/>
      <w:pPr>
        <w:ind w:left="720" w:hanging="480"/>
      </w:pPr>
    </w:lvl>
    <w:lvl w:ilvl="1">
      <w:numFmt w:val="bullet"/>
      <w:lvlText w:val="–"/>
      <w:lvlJc w:val="left"/>
      <w:pPr>
        <w:ind w:left="1440" w:hanging="480"/>
      </w:pPr>
    </w:lvl>
    <w:lvl w:ilvl="2">
      <w:numFmt w:val="bullet"/>
      <w:lvlText w:val="•"/>
      <w:lvlJc w:val="left"/>
      <w:pPr>
        <w:ind w:left="2160" w:hanging="480"/>
      </w:pPr>
    </w:lvl>
    <w:lvl w:ilvl="3">
      <w:numFmt w:val="bullet"/>
      <w:lvlText w:val="–"/>
      <w:lvlJc w:val="left"/>
      <w:pPr>
        <w:ind w:left="2880" w:hanging="480"/>
      </w:pPr>
    </w:lvl>
    <w:lvl w:ilvl="4">
      <w:numFmt w:val="bullet"/>
      <w:lvlText w:val="•"/>
      <w:lvlJc w:val="left"/>
      <w:pPr>
        <w:ind w:left="3600" w:hanging="480"/>
      </w:pPr>
    </w:lvl>
    <w:lvl w:ilvl="5">
      <w:numFmt w:val="bullet"/>
      <w:lvlText w:val="–"/>
      <w:lvlJc w:val="left"/>
      <w:pPr>
        <w:ind w:left="4320" w:hanging="480"/>
      </w:pPr>
    </w:lvl>
    <w:lvl w:ilvl="6">
      <w:numFmt w:val="bullet"/>
      <w:lvlText w:val="•"/>
      <w:lvlJc w:val="left"/>
      <w:pPr>
        <w:ind w:left="5040" w:hanging="480"/>
      </w:pPr>
    </w:lvl>
    <w:lvl w:ilvl="7">
      <w:numFmt w:val="bullet"/>
      <w:lvlText w:val="–"/>
      <w:lvlJc w:val="left"/>
      <w:pPr>
        <w:ind w:left="5760" w:hanging="480"/>
      </w:pPr>
    </w:lvl>
    <w:lvl w:ilvl="8">
      <w:numFmt w:val="bullet"/>
      <w:lvlText w:val="•"/>
      <w:lvlJc w:val="left"/>
      <w:pPr>
        <w:ind w:left="6480" w:hanging="480"/>
      </w:pPr>
    </w:lvl>
  </w:abstractNum>
  <w:num w:numId="1" w16cid:durableId="1126389124">
    <w:abstractNumId w:val="10"/>
  </w:num>
  <w:num w:numId="2" w16cid:durableId="1085616903">
    <w:abstractNumId w:val="11"/>
  </w:num>
  <w:num w:numId="3" w16cid:durableId="323628995">
    <w:abstractNumId w:val="11"/>
  </w:num>
  <w:num w:numId="4" w16cid:durableId="134568664">
    <w:abstractNumId w:val="9"/>
  </w:num>
  <w:num w:numId="5" w16cid:durableId="1974171095">
    <w:abstractNumId w:val="7"/>
  </w:num>
  <w:num w:numId="6" w16cid:durableId="1316759346">
    <w:abstractNumId w:val="6"/>
  </w:num>
  <w:num w:numId="7" w16cid:durableId="417336382">
    <w:abstractNumId w:val="5"/>
  </w:num>
  <w:num w:numId="8" w16cid:durableId="982927288">
    <w:abstractNumId w:val="4"/>
  </w:num>
  <w:num w:numId="9" w16cid:durableId="1063453764">
    <w:abstractNumId w:val="8"/>
  </w:num>
  <w:num w:numId="10" w16cid:durableId="273832259">
    <w:abstractNumId w:val="3"/>
  </w:num>
  <w:num w:numId="11" w16cid:durableId="1220169825">
    <w:abstractNumId w:val="2"/>
  </w:num>
  <w:num w:numId="12" w16cid:durableId="1151219387">
    <w:abstractNumId w:val="1"/>
  </w:num>
  <w:num w:numId="13" w16cid:durableId="60954311">
    <w:abstractNumId w:val="0"/>
  </w:num>
  <w:num w:numId="14" w16cid:durableId="1635332321">
    <w:abstractNumId w:val="10"/>
  </w:num>
  <w:num w:numId="15" w16cid:durableId="164118240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NotTrackMoves/>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6AC41E75"/>
    <w:rsid w:val="00000A7B"/>
    <w:rsid w:val="0000335D"/>
    <w:rsid w:val="000069EB"/>
    <w:rsid w:val="00012AB8"/>
    <w:rsid w:val="00046162"/>
    <w:rsid w:val="00057F64"/>
    <w:rsid w:val="00080C6E"/>
    <w:rsid w:val="000C7D54"/>
    <w:rsid w:val="000E2954"/>
    <w:rsid w:val="000E78FB"/>
    <w:rsid w:val="00147C90"/>
    <w:rsid w:val="00170928"/>
    <w:rsid w:val="00176037"/>
    <w:rsid w:val="00182C50"/>
    <w:rsid w:val="0019318C"/>
    <w:rsid w:val="001A65AD"/>
    <w:rsid w:val="001D4CD5"/>
    <w:rsid w:val="001D6D70"/>
    <w:rsid w:val="001E3C78"/>
    <w:rsid w:val="0021108A"/>
    <w:rsid w:val="0024185C"/>
    <w:rsid w:val="00250FED"/>
    <w:rsid w:val="00256B8A"/>
    <w:rsid w:val="00280F75"/>
    <w:rsid w:val="00290E78"/>
    <w:rsid w:val="002A7BF5"/>
    <w:rsid w:val="002B65F8"/>
    <w:rsid w:val="002B7964"/>
    <w:rsid w:val="002D24D1"/>
    <w:rsid w:val="002E76B8"/>
    <w:rsid w:val="0032651C"/>
    <w:rsid w:val="00366609"/>
    <w:rsid w:val="00372DAC"/>
    <w:rsid w:val="003A5D4A"/>
    <w:rsid w:val="003B0C04"/>
    <w:rsid w:val="003C7DCB"/>
    <w:rsid w:val="00402340"/>
    <w:rsid w:val="00420652"/>
    <w:rsid w:val="00423AC7"/>
    <w:rsid w:val="004400A9"/>
    <w:rsid w:val="0044605C"/>
    <w:rsid w:val="00481C6B"/>
    <w:rsid w:val="0048345E"/>
    <w:rsid w:val="004A4F15"/>
    <w:rsid w:val="004A517B"/>
    <w:rsid w:val="004D4398"/>
    <w:rsid w:val="004E0583"/>
    <w:rsid w:val="004E0E1C"/>
    <w:rsid w:val="005235B2"/>
    <w:rsid w:val="00531579"/>
    <w:rsid w:val="00550A77"/>
    <w:rsid w:val="00596F2E"/>
    <w:rsid w:val="005A634F"/>
    <w:rsid w:val="005C6DF5"/>
    <w:rsid w:val="005E293E"/>
    <w:rsid w:val="005F45C5"/>
    <w:rsid w:val="006463B8"/>
    <w:rsid w:val="006702DE"/>
    <w:rsid w:val="00681E9D"/>
    <w:rsid w:val="00687A8F"/>
    <w:rsid w:val="006946CD"/>
    <w:rsid w:val="006A7590"/>
    <w:rsid w:val="006B2AE2"/>
    <w:rsid w:val="006C39DE"/>
    <w:rsid w:val="006E78E8"/>
    <w:rsid w:val="007401B1"/>
    <w:rsid w:val="007D642F"/>
    <w:rsid w:val="007D662B"/>
    <w:rsid w:val="008113EA"/>
    <w:rsid w:val="00811841"/>
    <w:rsid w:val="0082127F"/>
    <w:rsid w:val="00867597"/>
    <w:rsid w:val="00875E54"/>
    <w:rsid w:val="00890A67"/>
    <w:rsid w:val="00905468"/>
    <w:rsid w:val="0093335E"/>
    <w:rsid w:val="0093476F"/>
    <w:rsid w:val="00965369"/>
    <w:rsid w:val="00972753"/>
    <w:rsid w:val="00976EE3"/>
    <w:rsid w:val="009874CA"/>
    <w:rsid w:val="009A568B"/>
    <w:rsid w:val="009B1AE8"/>
    <w:rsid w:val="009C6909"/>
    <w:rsid w:val="00A97069"/>
    <w:rsid w:val="00AD0B98"/>
    <w:rsid w:val="00B079EC"/>
    <w:rsid w:val="00B440CB"/>
    <w:rsid w:val="00B701F7"/>
    <w:rsid w:val="00B85ED1"/>
    <w:rsid w:val="00B85F96"/>
    <w:rsid w:val="00BB3444"/>
    <w:rsid w:val="00BE30FE"/>
    <w:rsid w:val="00BE3EF6"/>
    <w:rsid w:val="00C16BE2"/>
    <w:rsid w:val="00C246DE"/>
    <w:rsid w:val="00C304F4"/>
    <w:rsid w:val="00C75E51"/>
    <w:rsid w:val="00CB3AE0"/>
    <w:rsid w:val="00CE1388"/>
    <w:rsid w:val="00CF074D"/>
    <w:rsid w:val="00D10DB7"/>
    <w:rsid w:val="00D164EA"/>
    <w:rsid w:val="00D45883"/>
    <w:rsid w:val="00D75744"/>
    <w:rsid w:val="00D85445"/>
    <w:rsid w:val="00D90527"/>
    <w:rsid w:val="00D905EF"/>
    <w:rsid w:val="00DB1EE1"/>
    <w:rsid w:val="00DB55E5"/>
    <w:rsid w:val="00DD0DCA"/>
    <w:rsid w:val="00DE4039"/>
    <w:rsid w:val="00DF773C"/>
    <w:rsid w:val="00E56AD2"/>
    <w:rsid w:val="00E73E57"/>
    <w:rsid w:val="00E840D7"/>
    <w:rsid w:val="00EB270A"/>
    <w:rsid w:val="00F17538"/>
    <w:rsid w:val="00F175B6"/>
    <w:rsid w:val="00F24F15"/>
    <w:rsid w:val="00F32E69"/>
    <w:rsid w:val="00F82D3F"/>
    <w:rsid w:val="00F9468D"/>
    <w:rsid w:val="00FB63F8"/>
    <w:rsid w:val="00FC337E"/>
    <w:rsid w:val="6AC41E75"/>
    <w:rsid w:val="777BEE7A"/>
  </w:rsids>
  <m:mathPr>
    <m:mathFont m:val="Cambria Math"/>
    <m:brkBin m:val="before"/>
    <m:brkBinSub m:val="--"/>
    <m:smallFrac m:val="0"/>
    <m:dispDef/>
    <m:lMargin m:val="0"/>
    <m:rMargin m:val="0"/>
    <m:defJc m:val="centerGroup"/>
    <m:wrapRight/>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369171"/>
  <w15:docId w15:val="{FA5B04D8-ADEE-473D-9E3A-78CDCB2D8A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376">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style>
  <w:style w:type="paragraph" w:styleId="Heading1">
    <w:name w:val="heading 1"/>
    <w:basedOn w:val="Normal"/>
    <w:next w:val="BodyText"/>
    <w:uiPriority w:val="9"/>
    <w:qFormat/>
    <w:pPr>
      <w:keepNext/>
      <w:keepLines/>
      <w:spacing w:before="480" w:after="0"/>
      <w:outlineLvl w:val="0"/>
    </w:pPr>
    <w:rPr>
      <w:rFonts w:asciiTheme="majorHAnsi" w:eastAsiaTheme="majorEastAsia" w:hAnsiTheme="majorHAnsi" w:cstheme="majorBidi"/>
      <w:b/>
      <w:bCs/>
      <w:color w:val="4F81BD" w:themeColor="accent1"/>
      <w:sz w:val="32"/>
      <w:szCs w:val="32"/>
    </w:rPr>
  </w:style>
  <w:style w:type="paragraph" w:styleId="Heading2">
    <w:name w:val="heading 2"/>
    <w:basedOn w:val="Normal"/>
    <w:next w:val="BodyText"/>
    <w:uiPriority w:val="9"/>
    <w:unhideWhenUsed/>
    <w:qFormat/>
    <w:pPr>
      <w:keepNext/>
      <w:keepLines/>
      <w:spacing w:before="200" w:after="0"/>
      <w:outlineLvl w:val="1"/>
    </w:pPr>
    <w:rPr>
      <w:rFonts w:asciiTheme="majorHAnsi" w:eastAsiaTheme="majorEastAsia" w:hAnsiTheme="majorHAnsi" w:cstheme="majorBidi"/>
      <w:b/>
      <w:bCs/>
      <w:color w:val="4F81BD" w:themeColor="accent1"/>
      <w:sz w:val="28"/>
      <w:szCs w:val="28"/>
    </w:rPr>
  </w:style>
  <w:style w:type="paragraph" w:styleId="Heading3">
    <w:name w:val="heading 3"/>
    <w:basedOn w:val="Normal"/>
    <w:next w:val="BodyText"/>
    <w:uiPriority w:val="9"/>
    <w:unhideWhenUsed/>
    <w:qFormat/>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BodyText"/>
    <w:uiPriority w:val="9"/>
    <w:unhideWhenUsed/>
    <w:qFormat/>
    <w:pPr>
      <w:keepNext/>
      <w:keepLines/>
      <w:spacing w:before="200" w:after="0"/>
      <w:outlineLvl w:val="3"/>
    </w:pPr>
    <w:rPr>
      <w:rFonts w:asciiTheme="majorHAnsi" w:eastAsiaTheme="majorEastAsia" w:hAnsiTheme="majorHAnsi" w:cstheme="majorBidi"/>
      <w:bCs/>
      <w:i/>
      <w:color w:val="4F81BD" w:themeColor="accent1"/>
    </w:rPr>
  </w:style>
  <w:style w:type="paragraph" w:styleId="Heading5">
    <w:name w:val="heading 5"/>
    <w:basedOn w:val="Normal"/>
    <w:next w:val="BodyText"/>
    <w:uiPriority w:val="9"/>
    <w:unhideWhenUsed/>
    <w:qFormat/>
    <w:pPr>
      <w:keepNext/>
      <w:keepLines/>
      <w:spacing w:before="200" w:after="0"/>
      <w:outlineLvl w:val="4"/>
    </w:pPr>
    <w:rPr>
      <w:rFonts w:asciiTheme="majorHAnsi" w:eastAsiaTheme="majorEastAsia" w:hAnsiTheme="majorHAnsi" w:cstheme="majorBidi"/>
      <w:iCs/>
      <w:color w:val="4F81BD" w:themeColor="accent1"/>
    </w:rPr>
  </w:style>
  <w:style w:type="paragraph" w:styleId="Heading6">
    <w:name w:val="heading 6"/>
    <w:basedOn w:val="Normal"/>
    <w:next w:val="BodyText"/>
    <w:uiPriority w:val="9"/>
    <w:unhideWhenUsed/>
    <w:qFormat/>
    <w:pPr>
      <w:keepNext/>
      <w:keepLines/>
      <w:spacing w:before="200" w:after="0"/>
      <w:outlineLvl w:val="5"/>
    </w:pPr>
    <w:rPr>
      <w:rFonts w:asciiTheme="majorHAnsi" w:eastAsiaTheme="majorEastAsia" w:hAnsiTheme="majorHAnsi" w:cstheme="majorBidi"/>
      <w:color w:val="4F81BD" w:themeColor="accent1"/>
    </w:rPr>
  </w:style>
  <w:style w:type="paragraph" w:styleId="Heading7">
    <w:name w:val="heading 7"/>
    <w:basedOn w:val="Normal"/>
    <w:next w:val="BodyText"/>
    <w:uiPriority w:val="9"/>
    <w:unhideWhenUsed/>
    <w:qFormat/>
    <w:pPr>
      <w:keepNext/>
      <w:keepLines/>
      <w:spacing w:before="200" w:after="0"/>
      <w:outlineLvl w:val="6"/>
    </w:pPr>
    <w:rPr>
      <w:rFonts w:asciiTheme="majorHAnsi" w:eastAsiaTheme="majorEastAsia" w:hAnsiTheme="majorHAnsi" w:cstheme="majorBidi"/>
      <w:color w:val="4F81BD" w:themeColor="accent1"/>
    </w:rPr>
  </w:style>
  <w:style w:type="paragraph" w:styleId="Heading8">
    <w:name w:val="heading 8"/>
    <w:basedOn w:val="Normal"/>
    <w:next w:val="BodyText"/>
    <w:uiPriority w:val="9"/>
    <w:unhideWhenUsed/>
    <w:qFormat/>
    <w:pPr>
      <w:keepNext/>
      <w:keepLines/>
      <w:spacing w:before="200" w:after="0"/>
      <w:outlineLvl w:val="7"/>
    </w:pPr>
    <w:rPr>
      <w:rFonts w:asciiTheme="majorHAnsi" w:eastAsiaTheme="majorEastAsia" w:hAnsiTheme="majorHAnsi" w:cstheme="majorBidi"/>
      <w:color w:val="4F81BD" w:themeColor="accent1"/>
    </w:rPr>
  </w:style>
  <w:style w:type="paragraph" w:styleId="Heading9">
    <w:name w:val="heading 9"/>
    <w:basedOn w:val="Normal"/>
    <w:next w:val="BodyText"/>
    <w:uiPriority w:val="9"/>
    <w:unhideWhenUsed/>
    <w:qFormat/>
    <w:pPr>
      <w:keepNext/>
      <w:keepLines/>
      <w:spacing w:before="200" w:after="0"/>
      <w:outlineLvl w:val="8"/>
    </w:pPr>
    <w:rPr>
      <w:rFonts w:asciiTheme="majorHAnsi" w:eastAsiaTheme="majorEastAsia" w:hAnsiTheme="majorHAnsi" w:cstheme="majorBidi"/>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qFormat/>
    <w:pPr>
      <w:spacing w:before="180" w:after="180"/>
    </w:pPr>
  </w:style>
  <w:style w:type="paragraph" w:customStyle="1" w:styleId="FirstParagraph">
    <w:name w:val="First Paragraph"/>
    <w:basedOn w:val="BodyText"/>
    <w:next w:val="BodyText"/>
    <w:qFormat/>
  </w:style>
  <w:style w:type="paragraph" w:customStyle="1" w:styleId="Compact">
    <w:name w:val="Compact"/>
    <w:basedOn w:val="BodyText"/>
    <w:qFormat/>
    <w:pPr>
      <w:spacing w:before="36" w:after="36"/>
    </w:pPr>
  </w:style>
  <w:style w:type="paragraph" w:styleId="Title">
    <w:name w:val="Title"/>
    <w:basedOn w:val="Normal"/>
    <w:next w:val="BodyText"/>
    <w:qFormat/>
    <w:pPr>
      <w:keepNext/>
      <w:keepLines/>
      <w:spacing w:before="480" w:after="240"/>
      <w:jc w:val="center"/>
    </w:pPr>
    <w:rPr>
      <w:rFonts w:asciiTheme="majorHAnsi" w:eastAsiaTheme="majorEastAsia" w:hAnsiTheme="majorHAnsi" w:cstheme="majorBidi"/>
      <w:b/>
      <w:bCs/>
      <w:color w:val="345A8A" w:themeColor="accent1" w:themeShade="B5"/>
      <w:sz w:val="36"/>
      <w:szCs w:val="36"/>
    </w:rPr>
  </w:style>
  <w:style w:type="paragraph" w:styleId="Subtitle">
    <w:name w:val="Subtitle"/>
    <w:basedOn w:val="Title"/>
    <w:next w:val="BodyText"/>
    <w:qFormat/>
    <w:pPr>
      <w:spacing w:before="240"/>
    </w:pPr>
    <w:rPr>
      <w:sz w:val="30"/>
      <w:szCs w:val="30"/>
    </w:rPr>
  </w:style>
  <w:style w:type="paragraph" w:customStyle="1" w:styleId="Author">
    <w:name w:val="Author"/>
    <w:next w:val="BodyText"/>
    <w:qFormat/>
    <w:pPr>
      <w:keepNext/>
      <w:keepLines/>
      <w:jc w:val="center"/>
    </w:pPr>
  </w:style>
  <w:style w:type="paragraph" w:styleId="Date">
    <w:name w:val="Date"/>
    <w:next w:val="BodyText"/>
    <w:qFormat/>
    <w:pPr>
      <w:keepNext/>
      <w:keepLines/>
      <w:jc w:val="center"/>
    </w:pPr>
  </w:style>
  <w:style w:type="paragraph" w:customStyle="1" w:styleId="AbstractTitle">
    <w:name w:val="Abstract Title"/>
    <w:basedOn w:val="Normal"/>
    <w:next w:val="Abstract"/>
    <w:qFormat/>
    <w:pPr>
      <w:keepNext/>
      <w:keepLines/>
      <w:spacing w:before="300" w:after="0"/>
      <w:jc w:val="center"/>
    </w:pPr>
    <w:rPr>
      <w:b/>
      <w:color w:val="345A8A"/>
      <w:sz w:val="20"/>
      <w:szCs w:val="20"/>
    </w:rPr>
  </w:style>
  <w:style w:type="paragraph" w:customStyle="1" w:styleId="Abstract">
    <w:name w:val="Abstract"/>
    <w:basedOn w:val="Normal"/>
    <w:next w:val="BodyText"/>
    <w:qFormat/>
    <w:pPr>
      <w:keepNext/>
      <w:keepLines/>
      <w:spacing w:before="100" w:after="300"/>
    </w:pPr>
    <w:rPr>
      <w:sz w:val="20"/>
      <w:szCs w:val="20"/>
    </w:rPr>
  </w:style>
  <w:style w:type="paragraph" w:styleId="Bibliography">
    <w:name w:val="Bibliography"/>
    <w:basedOn w:val="Normal"/>
    <w:qFormat/>
  </w:style>
  <w:style w:type="paragraph" w:styleId="BlockText">
    <w:name w:val="Block Text"/>
    <w:basedOn w:val="BodyText"/>
    <w:next w:val="BodyText"/>
    <w:uiPriority w:val="9"/>
    <w:unhideWhenUsed/>
    <w:qFormat/>
    <w:pPr>
      <w:spacing w:before="100" w:after="100"/>
      <w:ind w:left="480" w:right="480"/>
    </w:pPr>
  </w:style>
  <w:style w:type="paragraph" w:styleId="FootnoteText">
    <w:name w:val="footnote text"/>
    <w:basedOn w:val="Normal"/>
    <w:uiPriority w:val="9"/>
    <w:unhideWhenUsed/>
    <w:qFormat/>
  </w:style>
  <w:style w:type="paragraph" w:customStyle="1" w:styleId="FootnoteBlockText">
    <w:name w:val="Footnote Block Text"/>
    <w:uiPriority w:val="9"/>
    <w:unhideWhenUsed/>
    <w:qFormat/>
    <w:pPr>
      <w:spacing w:before="100" w:after="100"/>
      <w:ind w:left="480" w:right="480"/>
    </w:pPr>
  </w:style>
  <w:style w:type="table" w:customStyle="1" w:styleId="Table">
    <w:name w:val="Table"/>
    <w:semiHidden/>
    <w:unhideWhenUsed/>
    <w:qFormat/>
    <w:tblPr>
      <w:tblInd w:w="0" w:type="dxa"/>
      <w:tblCellMar>
        <w:top w:w="0" w:type="dxa"/>
        <w:left w:w="108" w:type="dxa"/>
        <w:bottom w:w="0" w:type="dxa"/>
        <w:right w:w="108" w:type="dxa"/>
      </w:tblCellMar>
    </w:tblPr>
    <w:tblStylePr w:type="firstRow">
      <w:tblPr>
        <w:jc w:val="left"/>
      </w:tblPr>
      <w:trPr>
        <w:jc w:val="left"/>
      </w:trPr>
      <w:tcPr>
        <w:tcBorders>
          <w:bottom w:val="single" w:sz="0" w:space="0" w:color="auto"/>
        </w:tcBorders>
        <w:vAlign w:val="bottom"/>
      </w:tcPr>
    </w:tblStylePr>
  </w:style>
  <w:style w:type="paragraph" w:customStyle="1" w:styleId="DefinitionTerm">
    <w:name w:val="Definition Term"/>
    <w:basedOn w:val="Normal"/>
    <w:next w:val="Definition"/>
    <w:pPr>
      <w:keepNext/>
      <w:keepLines/>
      <w:spacing w:after="0"/>
    </w:pPr>
    <w:rPr>
      <w:b/>
    </w:rPr>
  </w:style>
  <w:style w:type="paragraph" w:customStyle="1" w:styleId="Definition">
    <w:name w:val="Definition"/>
    <w:basedOn w:val="Normal"/>
  </w:style>
  <w:style w:type="paragraph" w:styleId="Caption">
    <w:name w:val="caption"/>
    <w:basedOn w:val="Normal"/>
    <w:link w:val="CaptionChar"/>
    <w:pPr>
      <w:spacing w:after="120"/>
    </w:pPr>
    <w:rPr>
      <w:i/>
    </w:rPr>
  </w:style>
  <w:style w:type="paragraph" w:customStyle="1" w:styleId="TableCaption">
    <w:name w:val="Table Caption"/>
    <w:basedOn w:val="Caption"/>
    <w:rsid w:val="00E934DD"/>
    <w:pPr>
      <w:keepNext/>
    </w:pPr>
    <w:rPr>
      <w:b/>
      <w:bCs/>
    </w:rPr>
  </w:style>
  <w:style w:type="paragraph" w:customStyle="1" w:styleId="ImageCaption">
    <w:name w:val="Image Caption"/>
    <w:basedOn w:val="Caption"/>
  </w:style>
  <w:style w:type="paragraph" w:customStyle="1" w:styleId="Figure">
    <w:name w:val="Figure"/>
    <w:basedOn w:val="Normal"/>
  </w:style>
  <w:style w:type="paragraph" w:customStyle="1" w:styleId="CaptionedFigure">
    <w:name w:val="Captioned Figure"/>
    <w:basedOn w:val="Figure"/>
    <w:pPr>
      <w:keepNext/>
    </w:pPr>
  </w:style>
  <w:style w:type="character" w:customStyle="1" w:styleId="CaptionChar">
    <w:name w:val="Caption Char"/>
    <w:basedOn w:val="DefaultParagraphFont"/>
    <w:link w:val="Caption"/>
  </w:style>
  <w:style w:type="character" w:customStyle="1" w:styleId="VerbatimChar">
    <w:name w:val="Verbatim Char"/>
    <w:basedOn w:val="CaptionChar"/>
    <w:link w:val="SourceCode"/>
    <w:rPr>
      <w:rFonts w:ascii="Consolas" w:hAnsi="Consolas"/>
      <w:sz w:val="22"/>
    </w:rPr>
  </w:style>
  <w:style w:type="character" w:customStyle="1" w:styleId="SectionNumber">
    <w:name w:val="Section Number"/>
    <w:basedOn w:val="CaptionChar"/>
  </w:style>
  <w:style w:type="character" w:styleId="FootnoteReference">
    <w:name w:val="footnote reference"/>
    <w:basedOn w:val="CaptionChar"/>
    <w:rPr>
      <w:vertAlign w:val="superscript"/>
    </w:rPr>
  </w:style>
  <w:style w:type="character" w:styleId="Hyperlink">
    <w:name w:val="Hyperlink"/>
    <w:basedOn w:val="CaptionChar"/>
    <w:rPr>
      <w:color w:val="4F81BD" w:themeColor="accent1"/>
    </w:rPr>
  </w:style>
  <w:style w:type="paragraph" w:styleId="TOCHeading">
    <w:name w:val="TOC Heading"/>
    <w:basedOn w:val="Heading1"/>
    <w:next w:val="BodyText"/>
    <w:uiPriority w:val="39"/>
    <w:unhideWhenUsed/>
    <w:qFormat/>
    <w:pPr>
      <w:spacing w:before="240" w:line="259" w:lineRule="auto"/>
      <w:outlineLvl w:val="9"/>
    </w:pPr>
    <w:rPr>
      <w:b w:val="0"/>
      <w:bCs w:val="0"/>
      <w:color w:val="365F91" w:themeColor="accent1" w:themeShade="BF"/>
    </w:rPr>
  </w:style>
  <w:style w:type="paragraph" w:customStyle="1" w:styleId="SourceCode">
    <w:name w:val="Source Code"/>
    <w:basedOn w:val="Normal"/>
    <w:link w:val="VerbatimChar"/>
    <w:pPr>
      <w:shd w:val="clear" w:color="auto" w:fill="F1F3F5"/>
      <w:wordWrap w:val="0"/>
    </w:pPr>
  </w:style>
  <w:style w:type="character" w:customStyle="1" w:styleId="KeywordTok">
    <w:name w:val="KeywordTok"/>
    <w:basedOn w:val="VerbatimChar"/>
    <w:rPr>
      <w:rFonts w:ascii="Consolas" w:hAnsi="Consolas"/>
      <w:color w:val="003B4F"/>
      <w:sz w:val="22"/>
      <w:shd w:val="clear" w:color="auto" w:fill="F1F3F5"/>
    </w:rPr>
  </w:style>
  <w:style w:type="character" w:customStyle="1" w:styleId="DataTypeTok">
    <w:name w:val="DataTypeTok"/>
    <w:basedOn w:val="VerbatimChar"/>
    <w:rPr>
      <w:rFonts w:ascii="Consolas" w:hAnsi="Consolas"/>
      <w:color w:val="AD0000"/>
      <w:sz w:val="22"/>
      <w:shd w:val="clear" w:color="auto" w:fill="F1F3F5"/>
    </w:rPr>
  </w:style>
  <w:style w:type="character" w:customStyle="1" w:styleId="DecValTok">
    <w:name w:val="DecValTok"/>
    <w:basedOn w:val="VerbatimChar"/>
    <w:rPr>
      <w:rFonts w:ascii="Consolas" w:hAnsi="Consolas"/>
      <w:color w:val="AD0000"/>
      <w:sz w:val="22"/>
      <w:shd w:val="clear" w:color="auto" w:fill="F1F3F5"/>
    </w:rPr>
  </w:style>
  <w:style w:type="character" w:customStyle="1" w:styleId="BaseNTok">
    <w:name w:val="BaseNTok"/>
    <w:basedOn w:val="VerbatimChar"/>
    <w:rPr>
      <w:rFonts w:ascii="Consolas" w:hAnsi="Consolas"/>
      <w:color w:val="AD0000"/>
      <w:sz w:val="22"/>
      <w:shd w:val="clear" w:color="auto" w:fill="F1F3F5"/>
    </w:rPr>
  </w:style>
  <w:style w:type="character" w:customStyle="1" w:styleId="FloatTok">
    <w:name w:val="FloatTok"/>
    <w:basedOn w:val="VerbatimChar"/>
    <w:rPr>
      <w:rFonts w:ascii="Consolas" w:hAnsi="Consolas"/>
      <w:color w:val="AD0000"/>
      <w:sz w:val="22"/>
      <w:shd w:val="clear" w:color="auto" w:fill="F1F3F5"/>
    </w:rPr>
  </w:style>
  <w:style w:type="character" w:customStyle="1" w:styleId="ConstantTok">
    <w:name w:val="ConstantTok"/>
    <w:basedOn w:val="VerbatimChar"/>
    <w:rPr>
      <w:rFonts w:ascii="Consolas" w:hAnsi="Consolas"/>
      <w:color w:val="8F5902"/>
      <w:sz w:val="22"/>
      <w:shd w:val="clear" w:color="auto" w:fill="F1F3F5"/>
    </w:rPr>
  </w:style>
  <w:style w:type="character" w:customStyle="1" w:styleId="CharTok">
    <w:name w:val="CharTok"/>
    <w:basedOn w:val="VerbatimChar"/>
    <w:rPr>
      <w:rFonts w:ascii="Consolas" w:hAnsi="Consolas"/>
      <w:color w:val="20794D"/>
      <w:sz w:val="22"/>
      <w:shd w:val="clear" w:color="auto" w:fill="F1F3F5"/>
    </w:rPr>
  </w:style>
  <w:style w:type="character" w:customStyle="1" w:styleId="SpecialCharTok">
    <w:name w:val="SpecialCharTok"/>
    <w:basedOn w:val="VerbatimChar"/>
    <w:rPr>
      <w:rFonts w:ascii="Consolas" w:hAnsi="Consolas"/>
      <w:color w:val="5E5E5E"/>
      <w:sz w:val="22"/>
      <w:shd w:val="clear" w:color="auto" w:fill="F1F3F5"/>
    </w:rPr>
  </w:style>
  <w:style w:type="character" w:customStyle="1" w:styleId="StringTok">
    <w:name w:val="StringTok"/>
    <w:basedOn w:val="VerbatimChar"/>
    <w:rPr>
      <w:rFonts w:ascii="Consolas" w:hAnsi="Consolas"/>
      <w:color w:val="20794D"/>
      <w:sz w:val="22"/>
      <w:shd w:val="clear" w:color="auto" w:fill="F1F3F5"/>
    </w:rPr>
  </w:style>
  <w:style w:type="character" w:customStyle="1" w:styleId="VerbatimStringTok">
    <w:name w:val="VerbatimStringTok"/>
    <w:basedOn w:val="VerbatimChar"/>
    <w:rPr>
      <w:rFonts w:ascii="Consolas" w:hAnsi="Consolas"/>
      <w:color w:val="20794D"/>
      <w:sz w:val="22"/>
      <w:shd w:val="clear" w:color="auto" w:fill="F1F3F5"/>
    </w:rPr>
  </w:style>
  <w:style w:type="character" w:customStyle="1" w:styleId="SpecialStringTok">
    <w:name w:val="SpecialStringTok"/>
    <w:basedOn w:val="VerbatimChar"/>
    <w:rPr>
      <w:rFonts w:ascii="Consolas" w:hAnsi="Consolas"/>
      <w:color w:val="20794D"/>
      <w:sz w:val="22"/>
      <w:shd w:val="clear" w:color="auto" w:fill="F1F3F5"/>
    </w:rPr>
  </w:style>
  <w:style w:type="character" w:customStyle="1" w:styleId="ImportTok">
    <w:name w:val="ImportTok"/>
    <w:basedOn w:val="VerbatimChar"/>
    <w:rPr>
      <w:rFonts w:ascii="Consolas" w:hAnsi="Consolas"/>
      <w:color w:val="00769E"/>
      <w:sz w:val="22"/>
      <w:shd w:val="clear" w:color="auto" w:fill="F1F3F5"/>
    </w:rPr>
  </w:style>
  <w:style w:type="character" w:customStyle="1" w:styleId="CommentTok">
    <w:name w:val="CommentTok"/>
    <w:basedOn w:val="VerbatimChar"/>
    <w:rPr>
      <w:rFonts w:ascii="Consolas" w:hAnsi="Consolas"/>
      <w:color w:val="5E5E5E"/>
      <w:sz w:val="22"/>
      <w:shd w:val="clear" w:color="auto" w:fill="F1F3F5"/>
    </w:rPr>
  </w:style>
  <w:style w:type="character" w:customStyle="1" w:styleId="DocumentationTok">
    <w:name w:val="DocumentationTok"/>
    <w:basedOn w:val="VerbatimChar"/>
    <w:rPr>
      <w:rFonts w:ascii="Consolas" w:hAnsi="Consolas"/>
      <w:i/>
      <w:color w:val="5E5E5E"/>
      <w:sz w:val="22"/>
      <w:shd w:val="clear" w:color="auto" w:fill="F1F3F5"/>
    </w:rPr>
  </w:style>
  <w:style w:type="character" w:customStyle="1" w:styleId="AnnotationTok">
    <w:name w:val="AnnotationTok"/>
    <w:basedOn w:val="VerbatimChar"/>
    <w:rPr>
      <w:rFonts w:ascii="Consolas" w:hAnsi="Consolas"/>
      <w:color w:val="5E5E5E"/>
      <w:sz w:val="22"/>
      <w:shd w:val="clear" w:color="auto" w:fill="F1F3F5"/>
    </w:rPr>
  </w:style>
  <w:style w:type="character" w:customStyle="1" w:styleId="CommentVarTok">
    <w:name w:val="CommentVarTok"/>
    <w:basedOn w:val="VerbatimChar"/>
    <w:rPr>
      <w:rFonts w:ascii="Consolas" w:hAnsi="Consolas"/>
      <w:i/>
      <w:color w:val="5E5E5E"/>
      <w:sz w:val="22"/>
      <w:shd w:val="clear" w:color="auto" w:fill="F1F3F5"/>
    </w:rPr>
  </w:style>
  <w:style w:type="character" w:customStyle="1" w:styleId="OtherTok">
    <w:name w:val="OtherTok"/>
    <w:basedOn w:val="VerbatimChar"/>
    <w:rPr>
      <w:rFonts w:ascii="Consolas" w:hAnsi="Consolas"/>
      <w:color w:val="003B4F"/>
      <w:sz w:val="22"/>
      <w:shd w:val="clear" w:color="auto" w:fill="F1F3F5"/>
    </w:rPr>
  </w:style>
  <w:style w:type="character" w:customStyle="1" w:styleId="FunctionTok">
    <w:name w:val="FunctionTok"/>
    <w:basedOn w:val="VerbatimChar"/>
    <w:rPr>
      <w:rFonts w:ascii="Consolas" w:hAnsi="Consolas"/>
      <w:color w:val="4758AB"/>
      <w:sz w:val="22"/>
      <w:shd w:val="clear" w:color="auto" w:fill="F1F3F5"/>
    </w:rPr>
  </w:style>
  <w:style w:type="character" w:customStyle="1" w:styleId="VariableTok">
    <w:name w:val="VariableTok"/>
    <w:basedOn w:val="VerbatimChar"/>
    <w:rPr>
      <w:rFonts w:ascii="Consolas" w:hAnsi="Consolas"/>
      <w:color w:val="111111"/>
      <w:sz w:val="22"/>
      <w:shd w:val="clear" w:color="auto" w:fill="F1F3F5"/>
    </w:rPr>
  </w:style>
  <w:style w:type="character" w:customStyle="1" w:styleId="ControlFlowTok">
    <w:name w:val="ControlFlowTok"/>
    <w:basedOn w:val="VerbatimChar"/>
    <w:rPr>
      <w:rFonts w:ascii="Consolas" w:hAnsi="Consolas"/>
      <w:color w:val="003B4F"/>
      <w:sz w:val="22"/>
      <w:shd w:val="clear" w:color="auto" w:fill="F1F3F5"/>
    </w:rPr>
  </w:style>
  <w:style w:type="character" w:customStyle="1" w:styleId="OperatorTok">
    <w:name w:val="OperatorTok"/>
    <w:basedOn w:val="VerbatimChar"/>
    <w:rPr>
      <w:rFonts w:ascii="Consolas" w:hAnsi="Consolas"/>
      <w:color w:val="5E5E5E"/>
      <w:sz w:val="22"/>
      <w:shd w:val="clear" w:color="auto" w:fill="F1F3F5"/>
    </w:rPr>
  </w:style>
  <w:style w:type="character" w:customStyle="1" w:styleId="BuiltInTok">
    <w:name w:val="BuiltInTok"/>
    <w:basedOn w:val="VerbatimChar"/>
    <w:rPr>
      <w:rFonts w:ascii="Consolas" w:hAnsi="Consolas"/>
      <w:color w:val="003B4F"/>
      <w:sz w:val="22"/>
      <w:shd w:val="clear" w:color="auto" w:fill="F1F3F5"/>
    </w:rPr>
  </w:style>
  <w:style w:type="character" w:customStyle="1" w:styleId="ExtensionTok">
    <w:name w:val="ExtensionTok"/>
    <w:basedOn w:val="VerbatimChar"/>
    <w:rPr>
      <w:rFonts w:ascii="Consolas" w:hAnsi="Consolas"/>
      <w:color w:val="003B4F"/>
      <w:sz w:val="22"/>
      <w:shd w:val="clear" w:color="auto" w:fill="F1F3F5"/>
    </w:rPr>
  </w:style>
  <w:style w:type="character" w:customStyle="1" w:styleId="PreprocessorTok">
    <w:name w:val="PreprocessorTok"/>
    <w:basedOn w:val="VerbatimChar"/>
    <w:rPr>
      <w:rFonts w:ascii="Consolas" w:hAnsi="Consolas"/>
      <w:color w:val="AD0000"/>
      <w:sz w:val="22"/>
      <w:shd w:val="clear" w:color="auto" w:fill="F1F3F5"/>
    </w:rPr>
  </w:style>
  <w:style w:type="character" w:customStyle="1" w:styleId="AttributeTok">
    <w:name w:val="AttributeTok"/>
    <w:basedOn w:val="VerbatimChar"/>
    <w:rPr>
      <w:rFonts w:ascii="Consolas" w:hAnsi="Consolas"/>
      <w:color w:val="657422"/>
      <w:sz w:val="22"/>
      <w:shd w:val="clear" w:color="auto" w:fill="F1F3F5"/>
    </w:rPr>
  </w:style>
  <w:style w:type="character" w:customStyle="1" w:styleId="RegionMarkerTok">
    <w:name w:val="RegionMarkerTok"/>
    <w:basedOn w:val="VerbatimChar"/>
    <w:rPr>
      <w:rFonts w:ascii="Consolas" w:hAnsi="Consolas"/>
      <w:color w:val="003B4F"/>
      <w:sz w:val="22"/>
      <w:shd w:val="clear" w:color="auto" w:fill="F1F3F5"/>
    </w:rPr>
  </w:style>
  <w:style w:type="character" w:customStyle="1" w:styleId="InformationTok">
    <w:name w:val="InformationTok"/>
    <w:basedOn w:val="VerbatimChar"/>
    <w:rPr>
      <w:rFonts w:ascii="Consolas" w:hAnsi="Consolas"/>
      <w:color w:val="5E5E5E"/>
      <w:sz w:val="22"/>
      <w:shd w:val="clear" w:color="auto" w:fill="F1F3F5"/>
    </w:rPr>
  </w:style>
  <w:style w:type="character" w:customStyle="1" w:styleId="WarningTok">
    <w:name w:val="WarningTok"/>
    <w:basedOn w:val="VerbatimChar"/>
    <w:rPr>
      <w:rFonts w:ascii="Consolas" w:hAnsi="Consolas"/>
      <w:i/>
      <w:color w:val="5E5E5E"/>
      <w:sz w:val="22"/>
      <w:shd w:val="clear" w:color="auto" w:fill="F1F3F5"/>
    </w:rPr>
  </w:style>
  <w:style w:type="character" w:customStyle="1" w:styleId="AlertTok">
    <w:name w:val="AlertTok"/>
    <w:basedOn w:val="VerbatimChar"/>
    <w:rPr>
      <w:rFonts w:ascii="Consolas" w:hAnsi="Consolas"/>
      <w:color w:val="AD0000"/>
      <w:sz w:val="22"/>
      <w:shd w:val="clear" w:color="auto" w:fill="F1F3F5"/>
    </w:rPr>
  </w:style>
  <w:style w:type="character" w:customStyle="1" w:styleId="ErrorTok">
    <w:name w:val="ErrorTok"/>
    <w:basedOn w:val="VerbatimChar"/>
    <w:rPr>
      <w:rFonts w:ascii="Consolas" w:hAnsi="Consolas"/>
      <w:color w:val="AD0000"/>
      <w:sz w:val="22"/>
      <w:shd w:val="clear" w:color="auto" w:fill="F1F3F5"/>
    </w:rPr>
  </w:style>
  <w:style w:type="character" w:customStyle="1" w:styleId="NormalTok">
    <w:name w:val="NormalTok"/>
    <w:basedOn w:val="VerbatimChar"/>
    <w:rPr>
      <w:rFonts w:ascii="Consolas" w:hAnsi="Consolas"/>
      <w:color w:val="003B4F"/>
      <w:sz w:val="22"/>
      <w:shd w:val="clear" w:color="auto" w:fill="F1F3F5"/>
    </w:rPr>
  </w:style>
  <w:style w:type="paragraph" w:styleId="Header">
    <w:name w:val="header"/>
    <w:basedOn w:val="Normal"/>
    <w:link w:val="HeaderChar"/>
    <w:rsid w:val="00FC2CEC"/>
    <w:pPr>
      <w:tabs>
        <w:tab w:val="center" w:pos="4513"/>
        <w:tab w:val="right" w:pos="9026"/>
      </w:tabs>
      <w:spacing w:after="0"/>
    </w:pPr>
  </w:style>
  <w:style w:type="character" w:customStyle="1" w:styleId="HeaderChar">
    <w:name w:val="Header Char"/>
    <w:basedOn w:val="DefaultParagraphFont"/>
    <w:link w:val="Header"/>
    <w:rsid w:val="00FC2CEC"/>
  </w:style>
  <w:style w:type="paragraph" w:styleId="Footer">
    <w:name w:val="footer"/>
    <w:basedOn w:val="Normal"/>
    <w:link w:val="FooterChar"/>
    <w:rsid w:val="00FC2CEC"/>
    <w:pPr>
      <w:tabs>
        <w:tab w:val="center" w:pos="4513"/>
        <w:tab w:val="right" w:pos="9026"/>
      </w:tabs>
      <w:spacing w:after="0"/>
    </w:pPr>
  </w:style>
  <w:style w:type="character" w:customStyle="1" w:styleId="FooterChar">
    <w:name w:val="Footer Char"/>
    <w:basedOn w:val="DefaultParagraphFont"/>
    <w:link w:val="Footer"/>
    <w:rsid w:val="00FC2CEC"/>
  </w:style>
  <w:style w:type="paragraph" w:customStyle="1" w:styleId="FigureCaption">
    <w:name w:val="Figure Caption"/>
    <w:basedOn w:val="Normal"/>
    <w:link w:val="FigureCaptionChar"/>
    <w:qFormat/>
    <w:rsid w:val="00E934DD"/>
    <w:rPr>
      <w:b/>
      <w:bCs/>
      <w:i/>
      <w:iCs/>
    </w:rPr>
  </w:style>
  <w:style w:type="character" w:customStyle="1" w:styleId="FigureCaptionChar">
    <w:name w:val="Figure Caption Char"/>
    <w:basedOn w:val="DefaultParagraphFont"/>
    <w:link w:val="FigureCaption"/>
    <w:rsid w:val="00E934DD"/>
    <w:rPr>
      <w:b/>
      <w:bCs/>
      <w:i/>
      <w:iCs/>
    </w:rPr>
  </w:style>
  <w:style w:type="character" w:customStyle="1" w:styleId="BodyTextChar">
    <w:name w:val="Body Text Char"/>
    <w:basedOn w:val="DefaultParagraphFont"/>
    <w:link w:val="BodyText"/>
    <w:rsid w:val="00E934DD"/>
  </w:style>
  <w:style w:type="character" w:styleId="FollowedHyperlink">
    <w:name w:val="FollowedHyperlink"/>
    <w:basedOn w:val="DefaultParagraphFont"/>
    <w:rsid w:val="00687A8F"/>
    <w:rPr>
      <w:color w:val="800080" w:themeColor="followedHyperlink"/>
      <w:u w:val="single"/>
    </w:rPr>
  </w:style>
  <w:style w:type="character" w:styleId="CommentReference">
    <w:name w:val="annotation reference"/>
    <w:basedOn w:val="DefaultParagraphFont"/>
    <w:rsid w:val="009B1AE8"/>
    <w:rPr>
      <w:sz w:val="16"/>
      <w:szCs w:val="16"/>
    </w:rPr>
  </w:style>
  <w:style w:type="paragraph" w:styleId="CommentText">
    <w:name w:val="annotation text"/>
    <w:basedOn w:val="Normal"/>
    <w:link w:val="CommentTextChar"/>
    <w:rsid w:val="009B1AE8"/>
    <w:rPr>
      <w:sz w:val="20"/>
      <w:szCs w:val="20"/>
    </w:rPr>
  </w:style>
  <w:style w:type="character" w:customStyle="1" w:styleId="CommentTextChar">
    <w:name w:val="Comment Text Char"/>
    <w:basedOn w:val="DefaultParagraphFont"/>
    <w:link w:val="CommentText"/>
    <w:rsid w:val="009B1AE8"/>
    <w:rPr>
      <w:sz w:val="20"/>
      <w:szCs w:val="20"/>
    </w:rPr>
  </w:style>
  <w:style w:type="paragraph" w:styleId="CommentSubject">
    <w:name w:val="annotation subject"/>
    <w:basedOn w:val="CommentText"/>
    <w:next w:val="CommentText"/>
    <w:link w:val="CommentSubjectChar"/>
    <w:rsid w:val="009B1AE8"/>
    <w:rPr>
      <w:b/>
      <w:bCs/>
    </w:rPr>
  </w:style>
  <w:style w:type="character" w:customStyle="1" w:styleId="CommentSubjectChar">
    <w:name w:val="Comment Subject Char"/>
    <w:basedOn w:val="CommentTextChar"/>
    <w:link w:val="CommentSubject"/>
    <w:rsid w:val="009B1AE8"/>
    <w:rPr>
      <w:b/>
      <w:bCs/>
      <w:sz w:val="20"/>
      <w:szCs w:val="20"/>
    </w:rPr>
  </w:style>
  <w:style w:type="paragraph" w:styleId="Revision">
    <w:name w:val="Revision"/>
    <w:hidden/>
    <w:rsid w:val="00681E9D"/>
    <w:pPr>
      <w:spacing w:after="0"/>
    </w:pPr>
  </w:style>
  <w:style w:type="character" w:styleId="UnresolvedMention">
    <w:name w:val="Unresolved Mention"/>
    <w:basedOn w:val="DefaultParagraphFont"/>
    <w:uiPriority w:val="99"/>
    <w:semiHidden/>
    <w:unhideWhenUsed/>
    <w:rsid w:val="00F1753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 Type="http://schemas.openxmlformats.org/officeDocument/2006/relationships/customXml" Target="../customXml/item3.xml"/><Relationship Id="rId21" Type="http://schemas.openxmlformats.org/officeDocument/2006/relationships/image" Target="media/image11.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10" Type="http://schemas.openxmlformats.org/officeDocument/2006/relationships/endnotes" Target="endnotes.xml"/><Relationship Id="rId19" Type="http://schemas.openxmlformats.org/officeDocument/2006/relationships/image" Target="media/image9.png"/><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header" Target="header1.xml"/><Relationship Id="rId8" Type="http://schemas.openxmlformats.org/officeDocument/2006/relationships/webSettings" Target="webSettings.xml"/></Relationships>
</file>

<file path=word/_rels/footnotes.xml.rels><?xml version="1.0" encoding="UTF-8" standalone="yes"?>
<Relationships xmlns="http://schemas.openxmlformats.org/package/2006/relationships"><Relationship Id="rId3" Type="http://schemas.openxmlformats.org/officeDocument/2006/relationships/hyperlink" Target="https://www.nice.org.uk/guidance/ta975" TargetMode="External"/><Relationship Id="rId7" Type="http://schemas.openxmlformats.org/officeDocument/2006/relationships/hyperlink" Target="https://www.nice.org.uk/guidance/ta975" TargetMode="External"/><Relationship Id="rId2" Type="http://schemas.openxmlformats.org/officeDocument/2006/relationships/hyperlink" Target="https://www.nice.org.uk/guidance/ta975" TargetMode="External"/><Relationship Id="rId1" Type="http://schemas.openxmlformats.org/officeDocument/2006/relationships/hyperlink" Target="https://academic.oup.com/ije/article/49/1/15/5538002" TargetMode="External"/><Relationship Id="rId6" Type="http://schemas.openxmlformats.org/officeDocument/2006/relationships/hyperlink" Target="https://doi.org/10.1016/S0140-6736(10)62002-8" TargetMode="External"/><Relationship Id="rId5" Type="http://schemas.openxmlformats.org/officeDocument/2006/relationships/hyperlink" Target="https://www.nice.org.uk/guidance/ta589" TargetMode="External"/><Relationship Id="rId4" Type="http://schemas.openxmlformats.org/officeDocument/2006/relationships/hyperlink" Target="https://doi.org/10.1200/JCO.2016.67.3301"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1.png"/><Relationship Id="rId1" Type="http://schemas.openxmlformats.org/officeDocument/2006/relationships/image" Target="media/image2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E5582E3FC316024DBDF7312EA51E4382" ma:contentTypeVersion="9" ma:contentTypeDescription="Create a new document." ma:contentTypeScope="" ma:versionID="551bf3229daf8f82536181e1cafd00df">
  <xsd:schema xmlns:xsd="http://www.w3.org/2001/XMLSchema" xmlns:xs="http://www.w3.org/2001/XMLSchema" xmlns:p="http://schemas.microsoft.com/office/2006/metadata/properties" xmlns:ns2="9cb74576-dddc-44dc-9c42-e2ce2d0b6653" targetNamespace="http://schemas.microsoft.com/office/2006/metadata/properties" ma:root="true" ma:fieldsID="80a9082f0292f545070c28f2dfd43e1c" ns2:_="">
    <xsd:import namespace="9cb74576-dddc-44dc-9c42-e2ce2d0b6653"/>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cb74576-dddc-44dc-9c42-e2ce2d0b665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157CEE-83C4-4491-A732-5C3E5F68C26F}">
  <ds:schemaRefs>
    <ds:schemaRef ds:uri="http://schemas.openxmlformats.org/officeDocument/2006/bibliography"/>
  </ds:schemaRefs>
</ds:datastoreItem>
</file>

<file path=customXml/itemProps2.xml><?xml version="1.0" encoding="utf-8"?>
<ds:datastoreItem xmlns:ds="http://schemas.openxmlformats.org/officeDocument/2006/customXml" ds:itemID="{C989AC5F-4E4F-46D6-8132-50A5F9FDF748}">
  <ds:schemaRefs>
    <ds:schemaRef ds:uri="http://schemas.microsoft.com/sharepoint/v3/contenttype/forms"/>
  </ds:schemaRefs>
</ds:datastoreItem>
</file>

<file path=customXml/itemProps3.xml><?xml version="1.0" encoding="utf-8"?>
<ds:datastoreItem xmlns:ds="http://schemas.openxmlformats.org/officeDocument/2006/customXml" ds:itemID="{44CA9515-8169-47E9-A08D-19268DF36BD6}">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CAC1033-4B1E-4910-A9A7-814D4A97B7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cb74576-dddc-44dc-9c42-e2ce2d0b665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29</TotalTime>
  <Pages>25</Pages>
  <Words>2614</Words>
  <Characters>14900</Characters>
  <Application>Microsoft Office Word</Application>
  <DocSecurity>0</DocSecurity>
  <Lines>124</Lines>
  <Paragraphs>34</Paragraphs>
  <ScaleCrop>false</ScaleCrop>
  <Company>NHS</Company>
  <LinksUpToDate>false</LinksUpToDate>
  <CharactersWithSpaces>17480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THACKRAY, Katherine (NHS ENGLAND)</dc:creator>
  <cp:keywords/>
  <cp:lastModifiedBy>MAKIN, William (NHS ENGLAND)</cp:lastModifiedBy>
  <cp:revision>6</cp:revision>
  <dcterms:created xsi:type="dcterms:W3CDTF">2025-11-14T10:29:00Z</dcterms:created>
  <dcterms:modified xsi:type="dcterms:W3CDTF">2025-11-14T11:14:00Z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biblio-config">
    <vt:lpwstr>True</vt:lpwstr>
  </property>
  <property fmtid="{D5CDD505-2E9C-101B-9397-08002B2CF9AE}" pid="3" name="execute">
    <vt:lpwstr/>
  </property>
  <property fmtid="{D5CDD505-2E9C-101B-9397-08002B2CF9AE}" pid="4" name="header-includes">
    <vt:lpwstr/>
  </property>
  <property fmtid="{D5CDD505-2E9C-101B-9397-08002B2CF9AE}" pid="5" name="include-after">
    <vt:lpwstr/>
  </property>
  <property fmtid="{D5CDD505-2E9C-101B-9397-08002B2CF9AE}" pid="6" name="include-before">
    <vt:lpwstr/>
  </property>
  <property fmtid="{D5CDD505-2E9C-101B-9397-08002B2CF9AE}" pid="7" name="labels">
    <vt:lpwstr/>
  </property>
  <property fmtid="{D5CDD505-2E9C-101B-9397-08002B2CF9AE}" pid="8" name="toc-title">
    <vt:lpwstr>Table of contents</vt:lpwstr>
  </property>
  <property fmtid="{D5CDD505-2E9C-101B-9397-08002B2CF9AE}" pid="9" name="MSIP_Label_c69d85d5-6d9e-4305-a294-1f636ec0f2d6_Enabled">
    <vt:lpwstr>true</vt:lpwstr>
  </property>
  <property fmtid="{D5CDD505-2E9C-101B-9397-08002B2CF9AE}" pid="10" name="MSIP_Label_c69d85d5-6d9e-4305-a294-1f636ec0f2d6_SetDate">
    <vt:lpwstr>2025-08-26T10:55:35Z</vt:lpwstr>
  </property>
  <property fmtid="{D5CDD505-2E9C-101B-9397-08002B2CF9AE}" pid="11" name="MSIP_Label_c69d85d5-6d9e-4305-a294-1f636ec0f2d6_Method">
    <vt:lpwstr>Standard</vt:lpwstr>
  </property>
  <property fmtid="{D5CDD505-2E9C-101B-9397-08002B2CF9AE}" pid="12" name="MSIP_Label_c69d85d5-6d9e-4305-a294-1f636ec0f2d6_Name">
    <vt:lpwstr>OFFICIAL</vt:lpwstr>
  </property>
  <property fmtid="{D5CDD505-2E9C-101B-9397-08002B2CF9AE}" pid="13" name="MSIP_Label_c69d85d5-6d9e-4305-a294-1f636ec0f2d6_SiteId">
    <vt:lpwstr>6030f479-b342-472d-a5dd-740ff7538de9</vt:lpwstr>
  </property>
  <property fmtid="{D5CDD505-2E9C-101B-9397-08002B2CF9AE}" pid="14" name="MSIP_Label_c69d85d5-6d9e-4305-a294-1f636ec0f2d6_ActionId">
    <vt:lpwstr>454580a6-6ee2-46cc-9f92-b8e81a823444</vt:lpwstr>
  </property>
  <property fmtid="{D5CDD505-2E9C-101B-9397-08002B2CF9AE}" pid="15" name="MSIP_Label_c69d85d5-6d9e-4305-a294-1f636ec0f2d6_ContentBits">
    <vt:lpwstr>0</vt:lpwstr>
  </property>
  <property fmtid="{D5CDD505-2E9C-101B-9397-08002B2CF9AE}" pid="16" name="MSIP_Label_c69d85d5-6d9e-4305-a294-1f636ec0f2d6_Tag">
    <vt:lpwstr>10, 3, 0, 2</vt:lpwstr>
  </property>
  <property fmtid="{D5CDD505-2E9C-101B-9397-08002B2CF9AE}" pid="17" name="ContentTypeId">
    <vt:lpwstr>0x010100E5582E3FC316024DBDF7312EA51E4382</vt:lpwstr>
  </property>
  <property fmtid="{D5CDD505-2E9C-101B-9397-08002B2CF9AE}" pid="18" name="Order">
    <vt:r8>797900</vt:r8>
  </property>
  <property fmtid="{D5CDD505-2E9C-101B-9397-08002B2CF9AE}" pid="19" name="ComplianceAssetId">
    <vt:lpwstr/>
  </property>
  <property fmtid="{D5CDD505-2E9C-101B-9397-08002B2CF9AE}" pid="20" name="_ExtendedDescription">
    <vt:lpwstr/>
  </property>
  <property fmtid="{D5CDD505-2E9C-101B-9397-08002B2CF9AE}" pid="21" name="TriggerFlowInfo">
    <vt:lpwstr/>
  </property>
  <property fmtid="{D5CDD505-2E9C-101B-9397-08002B2CF9AE}" pid="22" name="docLang">
    <vt:lpwstr>en</vt:lpwstr>
  </property>
</Properties>
</file>