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95D63F" w14:textId="77777777" w:rsidR="00935D9A" w:rsidRPr="00CB318D" w:rsidRDefault="0054436F">
      <w:pPr>
        <w:pStyle w:val="Heading1"/>
        <w:rPr>
          <w:color w:val="000000" w:themeColor="text1"/>
        </w:rPr>
      </w:pPr>
      <w:bookmarkStart w:id="0" w:name="ndrs-nice-partnership-report"/>
      <w:r w:rsidRPr="00CB318D">
        <w:rPr>
          <w:color w:val="000000" w:themeColor="text1"/>
        </w:rPr>
        <w:t>NDRS-NICE partnership report</w:t>
      </w:r>
    </w:p>
    <w:p w14:paraId="1848F82B" w14:textId="77777777" w:rsidR="00935D9A" w:rsidRPr="00CB318D" w:rsidRDefault="0054436F">
      <w:pPr>
        <w:pStyle w:val="Heading2"/>
        <w:rPr>
          <w:color w:val="000000" w:themeColor="text1"/>
        </w:rPr>
      </w:pPr>
      <w:bookmarkStart w:id="1" w:name="background"/>
      <w:r w:rsidRPr="00CB318D">
        <w:rPr>
          <w:color w:val="000000" w:themeColor="text1"/>
        </w:rPr>
        <w:t>Background</w:t>
      </w:r>
    </w:p>
    <w:p w14:paraId="426555D3" w14:textId="77777777" w:rsidR="00935D9A" w:rsidRPr="00CB318D" w:rsidRDefault="0054436F">
      <w:pPr>
        <w:pStyle w:val="FirstParagraph"/>
        <w:rPr>
          <w:color w:val="000000" w:themeColor="text1"/>
        </w:rPr>
      </w:pPr>
      <w:r w:rsidRPr="00CB318D">
        <w:rPr>
          <w:color w:val="000000" w:themeColor="text1"/>
        </w:rPr>
        <w:t>This report was produced in partnership by the National Disease and Registration Service (NDRS) and National Institute for Health and Care Excellence (NICE). NDRS and NICE have established a partnership focused on routinely collected data to support NICE decision making on the appraisals of cancer treatments. The partnership uses NDRS datasets, including the information submitted by trusts to the Systemic Anti-Cancer Therapy (SACT) dataset,</w:t>
      </w:r>
      <w:r w:rsidRPr="00CB318D">
        <w:rPr>
          <w:rStyle w:val="FootnoteReference"/>
          <w:color w:val="000000" w:themeColor="text1"/>
        </w:rPr>
        <w:footnoteReference w:id="1"/>
      </w:r>
      <w:r w:rsidRPr="00CB318D">
        <w:rPr>
          <w:color w:val="000000" w:themeColor="text1"/>
        </w:rPr>
        <w:t xml:space="preserve"> to provide an understanding of current practice.</w:t>
      </w:r>
    </w:p>
    <w:p w14:paraId="449A4F14" w14:textId="77777777" w:rsidR="00935D9A" w:rsidRPr="00CB318D" w:rsidRDefault="0054436F">
      <w:pPr>
        <w:pStyle w:val="BodyText"/>
        <w:rPr>
          <w:color w:val="000000" w:themeColor="text1"/>
        </w:rPr>
      </w:pPr>
      <w:r w:rsidRPr="00CB318D">
        <w:rPr>
          <w:color w:val="000000" w:themeColor="text1"/>
        </w:rPr>
        <w:t>To determine a severity modifier, NICE considers factors such as the age, gender, and overall survival of the patient cohort affected by the disease. Additionally, knowing the time-on-treatment for each therapy is useful, as it validates assumptions made in technology appraisal evaluations about the duration of treatment use.</w:t>
      </w:r>
    </w:p>
    <w:p w14:paraId="6ED87A6B" w14:textId="77777777" w:rsidR="00935D9A" w:rsidRPr="00CB318D" w:rsidRDefault="0054436F">
      <w:pPr>
        <w:pStyle w:val="BodyText"/>
        <w:rPr>
          <w:color w:val="000000" w:themeColor="text1"/>
        </w:rPr>
      </w:pPr>
      <w:r w:rsidRPr="00CB318D">
        <w:rPr>
          <w:color w:val="000000" w:themeColor="text1"/>
        </w:rPr>
        <w:t>This partnership is focused on producing demographic and survival information using NDRS data, alongside supplementary information tailored to each technology appraisal. These may include, for example, the time patients spend on particular treatments, genetic data where this is available, or other information on real-world care pathways. Interpretation of the data is not included in this report, it is the information as provided to the NICE technology appraisal committees. Detail on how NICE health technology appraisals use this data can be found in the NICE health technology evaluations manual,</w:t>
      </w:r>
      <w:r w:rsidRPr="00CB318D">
        <w:rPr>
          <w:rStyle w:val="FootnoteReference"/>
          <w:color w:val="000000" w:themeColor="text1"/>
        </w:rPr>
        <w:footnoteReference w:id="2"/>
      </w:r>
      <w:r w:rsidRPr="00CB318D">
        <w:rPr>
          <w:color w:val="000000" w:themeColor="text1"/>
        </w:rPr>
        <w:t xml:space="preserve"> with specific information relating to the survival analysis modelling available in Technical Support Document (TSD).</w:t>
      </w:r>
      <w:r w:rsidRPr="00CB318D">
        <w:rPr>
          <w:rStyle w:val="FootnoteReference"/>
          <w:color w:val="000000" w:themeColor="text1"/>
        </w:rPr>
        <w:footnoteReference w:id="3"/>
      </w:r>
    </w:p>
    <w:p w14:paraId="01DD5801" w14:textId="77777777" w:rsidR="00935D9A" w:rsidRPr="00CB318D" w:rsidRDefault="0054436F">
      <w:pPr>
        <w:pStyle w:val="BodyText"/>
        <w:rPr>
          <w:color w:val="000000" w:themeColor="text1"/>
        </w:rPr>
      </w:pPr>
      <w:r w:rsidRPr="00CB318D">
        <w:rPr>
          <w:color w:val="000000" w:themeColor="text1"/>
        </w:rPr>
        <w:t xml:space="preserve">The focus of this report is the indication </w:t>
      </w:r>
      <w:r w:rsidRPr="00CB318D">
        <w:rPr>
          <w:b/>
          <w:bCs/>
          <w:color w:val="000000" w:themeColor="text1"/>
        </w:rPr>
        <w:t>ID6442: Mirvetuximab soravtansine for treating folate receptor alpha-positive platinum-resistant advanced epithelial ovarian, fallopian tube or primary peritoneal cancer</w:t>
      </w:r>
    </w:p>
    <w:p w14:paraId="2385DF07" w14:textId="77777777" w:rsidR="00935D9A" w:rsidRPr="00CB318D" w:rsidRDefault="0054436F">
      <w:pPr>
        <w:pStyle w:val="BodyText"/>
        <w:rPr>
          <w:color w:val="000000" w:themeColor="text1"/>
        </w:rPr>
      </w:pPr>
      <w:r w:rsidRPr="00CB318D">
        <w:rPr>
          <w:color w:val="000000" w:themeColor="text1"/>
        </w:rPr>
        <w:t>A single cohort was assessed for this indication:</w:t>
      </w:r>
    </w:p>
    <w:p w14:paraId="61C9E004" w14:textId="77777777" w:rsidR="00935D9A" w:rsidRPr="00CB318D" w:rsidRDefault="0054436F">
      <w:pPr>
        <w:pStyle w:val="Compact"/>
        <w:numPr>
          <w:ilvl w:val="0"/>
          <w:numId w:val="15"/>
        </w:numPr>
        <w:rPr>
          <w:color w:val="000000" w:themeColor="text1"/>
        </w:rPr>
      </w:pPr>
      <w:r w:rsidRPr="00CB318D">
        <w:rPr>
          <w:color w:val="000000" w:themeColor="text1"/>
        </w:rPr>
        <w:lastRenderedPageBreak/>
        <w:t>Adults with platinum-resistant advanced epithelial ovarian, fallopian tube or primary peritoneal cancer treated with pegylated liposomal doxorubicin (PLD) or paclitaxel monotherapies (pooled chemotherapy cohort)</w:t>
      </w:r>
    </w:p>
    <w:p w14:paraId="18A3ED72" w14:textId="77777777" w:rsidR="00935D9A" w:rsidRPr="00CB318D" w:rsidRDefault="0054436F">
      <w:pPr>
        <w:rPr>
          <w:color w:val="000000" w:themeColor="text1"/>
        </w:rPr>
      </w:pPr>
      <w:r w:rsidRPr="00CB318D">
        <w:rPr>
          <w:color w:val="000000" w:themeColor="text1"/>
        </w:rPr>
        <w:br w:type="page"/>
      </w:r>
    </w:p>
    <w:p w14:paraId="63D8E8C8" w14:textId="77777777" w:rsidR="00935D9A" w:rsidRPr="00CB318D" w:rsidRDefault="0054436F">
      <w:pPr>
        <w:pStyle w:val="Heading1"/>
        <w:rPr>
          <w:color w:val="000000" w:themeColor="text1"/>
        </w:rPr>
      </w:pPr>
      <w:bookmarkStart w:id="2" w:name="Xfacc8edd1435c6cd65ccdaacbff87907282567f"/>
      <w:bookmarkEnd w:id="0"/>
      <w:bookmarkEnd w:id="1"/>
      <w:r w:rsidRPr="00CB318D">
        <w:rPr>
          <w:color w:val="000000" w:themeColor="text1"/>
        </w:rPr>
        <w:lastRenderedPageBreak/>
        <w:t>Age and overall survival for adults with platinum-resistant advanced epithelial ovarian, fallopian tube or primary peritoneal cancer</w:t>
      </w:r>
    </w:p>
    <w:p w14:paraId="13672D9B" w14:textId="77777777" w:rsidR="00935D9A" w:rsidRPr="00CB318D" w:rsidRDefault="0054436F">
      <w:pPr>
        <w:pStyle w:val="Heading2"/>
        <w:rPr>
          <w:color w:val="000000" w:themeColor="text1"/>
        </w:rPr>
      </w:pPr>
      <w:bookmarkStart w:id="3" w:name="introduction"/>
      <w:r w:rsidRPr="00CB318D">
        <w:rPr>
          <w:color w:val="000000" w:themeColor="text1"/>
        </w:rPr>
        <w:t>Introduction</w:t>
      </w:r>
    </w:p>
    <w:p w14:paraId="784D4AD4" w14:textId="77777777" w:rsidR="00935D9A" w:rsidRPr="00CB318D" w:rsidRDefault="0054436F">
      <w:pPr>
        <w:pStyle w:val="FirstParagraph"/>
        <w:rPr>
          <w:color w:val="000000" w:themeColor="text1"/>
        </w:rPr>
      </w:pPr>
      <w:r w:rsidRPr="00CB318D">
        <w:rPr>
          <w:color w:val="000000" w:themeColor="text1"/>
        </w:rPr>
        <w:t>This report was produced in partnership by the National Disease and Registration Service (NDRS) and National Institute for Health and Care Excellence (NICE). It presents overall survival and age distributions among patients aged 18 or over with platinum-resistant advanced epithelial ovarian, fallopian tube or primary peritoneal cancer treated with pegylated liposomal doxorubicin (PLD) or paclitaxel monotherapies (pooled chemotherapy).</w:t>
      </w:r>
    </w:p>
    <w:p w14:paraId="483C97B5" w14:textId="77777777" w:rsidR="00935D9A" w:rsidRPr="00CB318D" w:rsidRDefault="0054436F">
      <w:pPr>
        <w:pStyle w:val="Heading2"/>
        <w:rPr>
          <w:color w:val="000000" w:themeColor="text1"/>
        </w:rPr>
      </w:pPr>
      <w:bookmarkStart w:id="4" w:name="method"/>
      <w:bookmarkEnd w:id="3"/>
      <w:r w:rsidRPr="00CB318D">
        <w:rPr>
          <w:color w:val="000000" w:themeColor="text1"/>
        </w:rPr>
        <w:t>Method</w:t>
      </w:r>
    </w:p>
    <w:p w14:paraId="5794DBC9" w14:textId="77777777" w:rsidR="00935D9A" w:rsidRPr="00CB318D" w:rsidRDefault="0054436F">
      <w:pPr>
        <w:pStyle w:val="FirstParagraph"/>
        <w:rPr>
          <w:color w:val="000000" w:themeColor="text1"/>
        </w:rPr>
      </w:pPr>
      <w:r w:rsidRPr="00CB318D">
        <w:rPr>
          <w:color w:val="000000" w:themeColor="text1"/>
        </w:rPr>
        <w:t>A snapshot of SACT data was taken on 7</w:t>
      </w:r>
      <w:r w:rsidRPr="00CB318D">
        <w:rPr>
          <w:color w:val="000000" w:themeColor="text1"/>
          <w:vertAlign w:val="superscript"/>
        </w:rPr>
        <w:t>th</w:t>
      </w:r>
      <w:r w:rsidRPr="00CB318D">
        <w:rPr>
          <w:color w:val="000000" w:themeColor="text1"/>
        </w:rPr>
        <w:t xml:space="preserve"> December 2025 and made available for analysis on 19</w:t>
      </w:r>
      <w:r w:rsidRPr="00CB318D">
        <w:rPr>
          <w:color w:val="000000" w:themeColor="text1"/>
          <w:vertAlign w:val="superscript"/>
        </w:rPr>
        <w:t>th</w:t>
      </w:r>
      <w:r w:rsidRPr="00CB318D">
        <w:rPr>
          <w:color w:val="000000" w:themeColor="text1"/>
        </w:rPr>
        <w:t xml:space="preserve"> December 2025. SACT data is only considered complete when 90% of trusts have submitted data, which at the time of analysis was 31</w:t>
      </w:r>
      <w:r w:rsidRPr="00CB318D">
        <w:rPr>
          <w:color w:val="000000" w:themeColor="text1"/>
          <w:vertAlign w:val="superscript"/>
        </w:rPr>
        <w:t>st</w:t>
      </w:r>
      <w:r w:rsidRPr="00CB318D">
        <w:rPr>
          <w:color w:val="000000" w:themeColor="text1"/>
        </w:rPr>
        <w:t xml:space="preserve"> March 2025. This date is used as the upper limit when selecting regimens of interest. Patients were traced for their vital status on 5</w:t>
      </w:r>
      <w:r w:rsidRPr="00CB318D">
        <w:rPr>
          <w:color w:val="000000" w:themeColor="text1"/>
          <w:vertAlign w:val="superscript"/>
        </w:rPr>
        <w:t>th</w:t>
      </w:r>
      <w:r w:rsidRPr="00CB318D">
        <w:rPr>
          <w:color w:val="000000" w:themeColor="text1"/>
        </w:rPr>
        <w:t xml:space="preserve"> October 2025, which is the censoring date for the overall survival analysis.</w:t>
      </w:r>
    </w:p>
    <w:p w14:paraId="04C0907B" w14:textId="77777777" w:rsidR="00935D9A" w:rsidRPr="00CB318D" w:rsidRDefault="0054436F">
      <w:pPr>
        <w:pStyle w:val="BodyText"/>
        <w:rPr>
          <w:color w:val="000000" w:themeColor="text1"/>
        </w:rPr>
      </w:pPr>
      <w:r w:rsidRPr="00CB318D">
        <w:rPr>
          <w:color w:val="000000" w:themeColor="text1"/>
        </w:rPr>
        <w:t>Descriptive statistics of age were computed, along with Kaplan-Meier estimates and parametric fits for overall survival. Patients were censored at the date of the most recent trace (5</w:t>
      </w:r>
      <w:r w:rsidRPr="00CB318D">
        <w:rPr>
          <w:color w:val="000000" w:themeColor="text1"/>
          <w:vertAlign w:val="superscript"/>
        </w:rPr>
        <w:t>th</w:t>
      </w:r>
      <w:r w:rsidRPr="00CB318D">
        <w:rPr>
          <w:color w:val="000000" w:themeColor="text1"/>
        </w:rPr>
        <w:t xml:space="preserve"> October 2025), representing the last date on which vital status was confirmed.</w:t>
      </w:r>
    </w:p>
    <w:p w14:paraId="6A7365B8" w14:textId="77777777" w:rsidR="00935D9A" w:rsidRPr="00CB318D" w:rsidRDefault="0054436F">
      <w:pPr>
        <w:pStyle w:val="Heading3"/>
        <w:rPr>
          <w:color w:val="000000" w:themeColor="text1"/>
        </w:rPr>
      </w:pPr>
      <w:bookmarkStart w:id="5" w:name="cohort-inclusions-exclusions"/>
      <w:r w:rsidRPr="00CB318D">
        <w:rPr>
          <w:color w:val="000000" w:themeColor="text1"/>
        </w:rPr>
        <w:t>Cohort inclusions / exclusions</w:t>
      </w:r>
    </w:p>
    <w:p w14:paraId="68123608" w14:textId="77777777" w:rsidR="00935D9A" w:rsidRPr="00CB318D" w:rsidRDefault="0054436F">
      <w:pPr>
        <w:pStyle w:val="FirstParagraph"/>
        <w:rPr>
          <w:color w:val="000000" w:themeColor="text1"/>
        </w:rPr>
      </w:pPr>
      <w:r w:rsidRPr="00CB318D">
        <w:rPr>
          <w:color w:val="000000" w:themeColor="text1"/>
        </w:rPr>
        <w:t>Patients were included if they met all of the following:</w:t>
      </w:r>
    </w:p>
    <w:p w14:paraId="1DAFCA38" w14:textId="77777777" w:rsidR="00935D9A" w:rsidRPr="00CB318D" w:rsidRDefault="0054436F">
      <w:pPr>
        <w:pStyle w:val="Compact"/>
        <w:numPr>
          <w:ilvl w:val="0"/>
          <w:numId w:val="16"/>
        </w:numPr>
        <w:rPr>
          <w:color w:val="000000" w:themeColor="text1"/>
        </w:rPr>
      </w:pPr>
      <w:r w:rsidRPr="00CB318D">
        <w:rPr>
          <w:color w:val="000000" w:themeColor="text1"/>
        </w:rPr>
        <w:t>Diagnosed between 1</w:t>
      </w:r>
      <w:r w:rsidRPr="00CB318D">
        <w:rPr>
          <w:color w:val="000000" w:themeColor="text1"/>
          <w:vertAlign w:val="superscript"/>
        </w:rPr>
        <w:t>st</w:t>
      </w:r>
      <w:r w:rsidRPr="00CB318D">
        <w:rPr>
          <w:color w:val="000000" w:themeColor="text1"/>
        </w:rPr>
        <w:t xml:space="preserve"> January 2010 and 31</w:t>
      </w:r>
      <w:r w:rsidRPr="00CB318D">
        <w:rPr>
          <w:color w:val="000000" w:themeColor="text1"/>
          <w:vertAlign w:val="superscript"/>
        </w:rPr>
        <w:t>st</w:t>
      </w:r>
      <w:r w:rsidRPr="00CB318D">
        <w:rPr>
          <w:color w:val="000000" w:themeColor="text1"/>
        </w:rPr>
        <w:t xml:space="preserve"> December 2023</w:t>
      </w:r>
    </w:p>
    <w:p w14:paraId="7BED7CBD" w14:textId="77777777" w:rsidR="00935D9A" w:rsidRPr="00CB318D" w:rsidRDefault="0054436F">
      <w:pPr>
        <w:pStyle w:val="Compact"/>
        <w:numPr>
          <w:ilvl w:val="0"/>
          <w:numId w:val="16"/>
        </w:numPr>
        <w:rPr>
          <w:color w:val="000000" w:themeColor="text1"/>
        </w:rPr>
      </w:pPr>
      <w:r w:rsidRPr="00CB318D">
        <w:rPr>
          <w:color w:val="000000" w:themeColor="text1"/>
        </w:rPr>
        <w:t>Gender recorded as female</w:t>
      </w:r>
    </w:p>
    <w:p w14:paraId="60D759EA" w14:textId="77777777" w:rsidR="00935D9A" w:rsidRPr="00CB318D" w:rsidRDefault="0054436F">
      <w:pPr>
        <w:pStyle w:val="Compact"/>
        <w:numPr>
          <w:ilvl w:val="0"/>
          <w:numId w:val="16"/>
        </w:numPr>
        <w:rPr>
          <w:color w:val="000000" w:themeColor="text1"/>
        </w:rPr>
      </w:pPr>
      <w:r w:rsidRPr="00CB318D">
        <w:rPr>
          <w:color w:val="000000" w:themeColor="text1"/>
        </w:rPr>
        <w:t>Country code was England, based on postcode of residence at diagnosis</w:t>
      </w:r>
    </w:p>
    <w:p w14:paraId="40A15E91" w14:textId="77777777" w:rsidR="00935D9A" w:rsidRPr="00CB318D" w:rsidRDefault="0054436F">
      <w:pPr>
        <w:pStyle w:val="Compact"/>
        <w:numPr>
          <w:ilvl w:val="0"/>
          <w:numId w:val="16"/>
        </w:numPr>
        <w:rPr>
          <w:color w:val="000000" w:themeColor="text1"/>
        </w:rPr>
      </w:pPr>
      <w:r w:rsidRPr="00CB318D">
        <w:rPr>
          <w:color w:val="000000" w:themeColor="text1"/>
        </w:rPr>
        <w:t>Age at diagnosis date was 18 or over</w:t>
      </w:r>
    </w:p>
    <w:p w14:paraId="09B5C47C" w14:textId="77777777" w:rsidR="00935D9A" w:rsidRPr="00CB318D" w:rsidRDefault="0054436F">
      <w:pPr>
        <w:pStyle w:val="Compact"/>
        <w:numPr>
          <w:ilvl w:val="0"/>
          <w:numId w:val="16"/>
        </w:numPr>
        <w:rPr>
          <w:color w:val="000000" w:themeColor="text1"/>
        </w:rPr>
      </w:pPr>
      <w:r w:rsidRPr="00CB318D">
        <w:rPr>
          <w:color w:val="000000" w:themeColor="text1"/>
        </w:rPr>
        <w:t>ICD-10 diagnosis code was one of the following:</w:t>
      </w:r>
    </w:p>
    <w:p w14:paraId="1D3F7A6D" w14:textId="77777777" w:rsidR="00935D9A" w:rsidRPr="00CB318D" w:rsidRDefault="0054436F">
      <w:pPr>
        <w:pStyle w:val="Compact"/>
        <w:numPr>
          <w:ilvl w:val="1"/>
          <w:numId w:val="17"/>
        </w:numPr>
        <w:rPr>
          <w:color w:val="000000" w:themeColor="text1"/>
        </w:rPr>
      </w:pPr>
      <w:r w:rsidRPr="00CB318D">
        <w:rPr>
          <w:color w:val="000000" w:themeColor="text1"/>
        </w:rPr>
        <w:t>‘C56’ - Malignant neoplasm of ovary</w:t>
      </w:r>
    </w:p>
    <w:p w14:paraId="274875F9" w14:textId="77777777" w:rsidR="00935D9A" w:rsidRPr="00CB318D" w:rsidRDefault="0054436F">
      <w:pPr>
        <w:pStyle w:val="Compact"/>
        <w:numPr>
          <w:ilvl w:val="1"/>
          <w:numId w:val="17"/>
        </w:numPr>
        <w:rPr>
          <w:color w:val="000000" w:themeColor="text1"/>
        </w:rPr>
      </w:pPr>
      <w:r w:rsidRPr="00CB318D">
        <w:rPr>
          <w:color w:val="000000" w:themeColor="text1"/>
        </w:rPr>
        <w:t>‘C570’ - Malignant neoplasm of other and unspecified female genital organs: fallopian tube</w:t>
      </w:r>
    </w:p>
    <w:p w14:paraId="21E2AB26" w14:textId="77777777" w:rsidR="00935D9A" w:rsidRPr="00CB318D" w:rsidRDefault="0054436F">
      <w:pPr>
        <w:pStyle w:val="Compact"/>
        <w:numPr>
          <w:ilvl w:val="1"/>
          <w:numId w:val="17"/>
        </w:numPr>
        <w:rPr>
          <w:color w:val="000000" w:themeColor="text1"/>
        </w:rPr>
      </w:pPr>
      <w:r w:rsidRPr="00CB318D">
        <w:rPr>
          <w:color w:val="000000" w:themeColor="text1"/>
        </w:rPr>
        <w:t>‘C481’ - Malignant neoplasm of retroperitoneum and peritoneum: specified parts of peritoneum</w:t>
      </w:r>
    </w:p>
    <w:p w14:paraId="0FCC948B" w14:textId="77777777" w:rsidR="00935D9A" w:rsidRPr="00CB318D" w:rsidRDefault="0054436F">
      <w:pPr>
        <w:pStyle w:val="Compact"/>
        <w:numPr>
          <w:ilvl w:val="1"/>
          <w:numId w:val="17"/>
        </w:numPr>
        <w:rPr>
          <w:color w:val="000000" w:themeColor="text1"/>
        </w:rPr>
      </w:pPr>
      <w:r w:rsidRPr="00CB318D">
        <w:rPr>
          <w:color w:val="000000" w:themeColor="text1"/>
        </w:rPr>
        <w:t>‘C482’ - Malignant neoplasm of retroperitoneum and peritoneum: peritoneum, unspecified</w:t>
      </w:r>
    </w:p>
    <w:p w14:paraId="366B53C4" w14:textId="77777777" w:rsidR="00935D9A" w:rsidRPr="00CB318D" w:rsidRDefault="0054436F">
      <w:pPr>
        <w:pStyle w:val="Compact"/>
        <w:numPr>
          <w:ilvl w:val="0"/>
          <w:numId w:val="16"/>
        </w:numPr>
        <w:rPr>
          <w:color w:val="000000" w:themeColor="text1"/>
        </w:rPr>
      </w:pPr>
      <w:r w:rsidRPr="00CB318D">
        <w:rPr>
          <w:color w:val="000000" w:themeColor="text1"/>
        </w:rPr>
        <w:t>Only one tumour was recorded during the study period</w:t>
      </w:r>
    </w:p>
    <w:p w14:paraId="4E7953AE" w14:textId="77777777" w:rsidR="00935D9A" w:rsidRPr="00CB318D" w:rsidRDefault="0054436F">
      <w:pPr>
        <w:pStyle w:val="Compact"/>
        <w:numPr>
          <w:ilvl w:val="0"/>
          <w:numId w:val="16"/>
        </w:numPr>
        <w:rPr>
          <w:color w:val="000000" w:themeColor="text1"/>
        </w:rPr>
      </w:pPr>
      <w:r w:rsidRPr="00CB318D">
        <w:rPr>
          <w:color w:val="000000" w:themeColor="text1"/>
        </w:rPr>
        <w:t>No registration for another malignant neoplasm within the 36 months preceding diagnosis</w:t>
      </w:r>
    </w:p>
    <w:p w14:paraId="1F8C0D02" w14:textId="77777777" w:rsidR="00935D9A" w:rsidRPr="00CB318D" w:rsidRDefault="0054436F">
      <w:pPr>
        <w:pStyle w:val="Compact"/>
        <w:numPr>
          <w:ilvl w:val="0"/>
          <w:numId w:val="16"/>
        </w:numPr>
        <w:rPr>
          <w:color w:val="000000" w:themeColor="text1"/>
        </w:rPr>
      </w:pPr>
      <w:r w:rsidRPr="00CB318D">
        <w:rPr>
          <w:color w:val="000000" w:themeColor="text1"/>
        </w:rPr>
        <w:lastRenderedPageBreak/>
        <w:t>PLD or paclitaxel monotherapy was initiated on or after 27</w:t>
      </w:r>
      <w:r w:rsidRPr="00CB318D">
        <w:rPr>
          <w:color w:val="000000" w:themeColor="text1"/>
          <w:vertAlign w:val="superscript"/>
        </w:rPr>
        <w:t>th</w:t>
      </w:r>
      <w:r w:rsidRPr="00CB318D">
        <w:rPr>
          <w:color w:val="000000" w:themeColor="text1"/>
        </w:rPr>
        <w:t xml:space="preserve"> April 2016 (NICE TA389 publication date). Usage before this point would be through the Cancer Drugs Fund or compassionate use schemes</w:t>
      </w:r>
    </w:p>
    <w:p w14:paraId="5ADBD48D" w14:textId="77777777" w:rsidR="00935D9A" w:rsidRPr="00CB318D" w:rsidRDefault="0054436F">
      <w:pPr>
        <w:pStyle w:val="Compact"/>
        <w:numPr>
          <w:ilvl w:val="0"/>
          <w:numId w:val="16"/>
        </w:numPr>
        <w:rPr>
          <w:color w:val="000000" w:themeColor="text1"/>
        </w:rPr>
      </w:pPr>
      <w:r w:rsidRPr="00CB318D">
        <w:rPr>
          <w:color w:val="000000" w:themeColor="text1"/>
        </w:rPr>
        <w:t>PLD or paclitaxel monotherapy was initiated on or before the point at which SACT is considered complete (31</w:t>
      </w:r>
      <w:r w:rsidRPr="00CB318D">
        <w:rPr>
          <w:color w:val="000000" w:themeColor="text1"/>
          <w:vertAlign w:val="superscript"/>
        </w:rPr>
        <w:t>st</w:t>
      </w:r>
      <w:r w:rsidRPr="00CB318D">
        <w:rPr>
          <w:color w:val="000000" w:themeColor="text1"/>
        </w:rPr>
        <w:t xml:space="preserve"> March 2025)</w:t>
      </w:r>
    </w:p>
    <w:p w14:paraId="3E76025C" w14:textId="77777777" w:rsidR="00935D9A" w:rsidRPr="00CB318D" w:rsidRDefault="0054436F">
      <w:pPr>
        <w:pStyle w:val="Compact"/>
        <w:numPr>
          <w:ilvl w:val="0"/>
          <w:numId w:val="16"/>
        </w:numPr>
        <w:rPr>
          <w:color w:val="000000" w:themeColor="text1"/>
        </w:rPr>
      </w:pPr>
      <w:r w:rsidRPr="00CB318D">
        <w:rPr>
          <w:color w:val="000000" w:themeColor="text1"/>
        </w:rPr>
        <w:t>PLD or paclitaxel monotherapy was not recorded as being administered in an adjuvant/neoadjuvant or curative setting</w:t>
      </w:r>
    </w:p>
    <w:p w14:paraId="504554CB" w14:textId="77777777" w:rsidR="00935D9A" w:rsidRPr="00CB318D" w:rsidRDefault="0054436F">
      <w:pPr>
        <w:pStyle w:val="Compact"/>
        <w:numPr>
          <w:ilvl w:val="0"/>
          <w:numId w:val="16"/>
        </w:numPr>
        <w:rPr>
          <w:color w:val="000000" w:themeColor="text1"/>
        </w:rPr>
      </w:pPr>
      <w:r w:rsidRPr="00CB318D">
        <w:rPr>
          <w:color w:val="000000" w:themeColor="text1"/>
        </w:rPr>
        <w:t>Individuals had received treatment with a platinum-based therapy (cisplatin, carboplatin, oxaliplatin) prior to initiating PLD or paclitaxel monotherapy</w:t>
      </w:r>
    </w:p>
    <w:p w14:paraId="0ED2D3A1" w14:textId="77777777" w:rsidR="00935D9A" w:rsidRPr="00CB318D" w:rsidRDefault="0054436F">
      <w:pPr>
        <w:pStyle w:val="FirstParagraph"/>
        <w:rPr>
          <w:color w:val="000000" w:themeColor="text1"/>
        </w:rPr>
      </w:pPr>
      <w:r w:rsidRPr="00CB318D">
        <w:rPr>
          <w:color w:val="000000" w:themeColor="text1"/>
        </w:rPr>
        <w:t>Note: Folate receptor-α genetic status was not considered due to low data completeness.</w:t>
      </w:r>
    </w:p>
    <w:p w14:paraId="490D7FD6" w14:textId="77777777" w:rsidR="00935D9A" w:rsidRPr="00CB318D" w:rsidRDefault="0054436F">
      <w:pPr>
        <w:pStyle w:val="Heading3"/>
        <w:rPr>
          <w:color w:val="000000" w:themeColor="text1"/>
        </w:rPr>
      </w:pPr>
      <w:bookmarkStart w:id="6" w:name="X5f02f67f39f3665c72c0518eeedea7dd63b3fdc"/>
      <w:bookmarkEnd w:id="5"/>
      <w:r w:rsidRPr="00CB318D">
        <w:rPr>
          <w:color w:val="000000" w:themeColor="text1"/>
        </w:rPr>
        <w:t>Identification of platinum resistant cases</w:t>
      </w:r>
    </w:p>
    <w:p w14:paraId="25EDFEFF" w14:textId="77777777" w:rsidR="00935D9A" w:rsidRPr="00CB318D" w:rsidRDefault="0054436F">
      <w:pPr>
        <w:pStyle w:val="FirstParagraph"/>
        <w:rPr>
          <w:color w:val="000000" w:themeColor="text1"/>
        </w:rPr>
      </w:pPr>
      <w:r w:rsidRPr="00CB318D">
        <w:rPr>
          <w:color w:val="000000" w:themeColor="text1"/>
        </w:rPr>
        <w:t>PLD and paclitaxel monotherapies are recommended as treatments for individuals with platinum-resistant disease, defined as disease progression occurring within 6 months of the last platinum-based chemotherapy regimen. Platinum-resistance may arise following 1</w:t>
      </w:r>
      <w:r w:rsidRPr="00CB318D">
        <w:rPr>
          <w:color w:val="000000" w:themeColor="text1"/>
          <w:vertAlign w:val="superscript"/>
        </w:rPr>
        <w:t>st</w:t>
      </w:r>
      <w:r w:rsidRPr="00CB318D">
        <w:rPr>
          <w:color w:val="000000" w:themeColor="text1"/>
        </w:rPr>
        <w:t xml:space="preserve"> line platinum-based therapy or after subsequent lines of treatment. As PLD or paclitaxel monotherapy is recommended only for platinum-resistant disease, initiation of either monotherapy was used as a proxy indicator for platinum-resistance.</w:t>
      </w:r>
    </w:p>
    <w:p w14:paraId="365C56B4" w14:textId="77777777" w:rsidR="00935D9A" w:rsidRPr="00CB318D" w:rsidRDefault="0054436F">
      <w:pPr>
        <w:pStyle w:val="BodyText"/>
        <w:rPr>
          <w:color w:val="000000" w:themeColor="text1"/>
        </w:rPr>
      </w:pPr>
      <w:r w:rsidRPr="00CB318D">
        <w:rPr>
          <w:color w:val="000000" w:themeColor="text1"/>
        </w:rPr>
        <w:t>Owing to variation in SACT recording practices and the structure of SACT tables, it can be challenging to algorithmically distinguish PLD and paclitaxel monotherapies from other lines of therapy, where these agents are given in combination with a platinum-based therapy (e.g. paclitaxel plus carboplatin). These combinations may be grouped at the regimen level in SACT or recorded as contemporaneous but separate (‘split’) regimens.</w:t>
      </w:r>
    </w:p>
    <w:p w14:paraId="0F76F79C" w14:textId="77777777" w:rsidR="00935D9A" w:rsidRPr="00CB318D" w:rsidRDefault="0054436F">
      <w:pPr>
        <w:pStyle w:val="BodyText"/>
        <w:rPr>
          <w:color w:val="000000" w:themeColor="text1"/>
        </w:rPr>
      </w:pPr>
      <w:r w:rsidRPr="00CB318D">
        <w:rPr>
          <w:color w:val="000000" w:themeColor="text1"/>
        </w:rPr>
        <w:t>To reduce misclassification of PLD or paclitaxel monotherapies, we: (i) count only regimens where the NDRS‑categorised description (“benchmark group”) specifies PLD or paclitaxel alone; (ii) exclude regimens where a platinum-based therapy appears in the drug-level tables for a PLD or paclitaxel monotherapy regimen (iii) exclude regimens where a drug-level record of a platinum-based therapy occurs within ±7 days of the PLD or paclitaxel monotherapy regimen start date. When given in combination PLD or paclitaxel is usually administered on the same day as a platinum agent. This ±7-day window was chosen as a pragmatic buffer to allow for a degree of real-world variation in clinical practice.</w:t>
      </w:r>
    </w:p>
    <w:p w14:paraId="6205C255" w14:textId="77777777" w:rsidR="00935D9A" w:rsidRPr="00CB318D" w:rsidRDefault="0054436F">
      <w:pPr>
        <w:pStyle w:val="Heading3"/>
        <w:rPr>
          <w:color w:val="000000" w:themeColor="text1"/>
        </w:rPr>
      </w:pPr>
      <w:bookmarkStart w:id="7" w:name="sensitivity-analyses"/>
      <w:bookmarkEnd w:id="6"/>
      <w:r w:rsidRPr="00CB318D">
        <w:rPr>
          <w:color w:val="000000" w:themeColor="text1"/>
        </w:rPr>
        <w:t>Sensitivity analyses</w:t>
      </w:r>
    </w:p>
    <w:p w14:paraId="11FD2C98" w14:textId="77777777" w:rsidR="00935D9A" w:rsidRPr="00CB318D" w:rsidRDefault="0054436F">
      <w:pPr>
        <w:pStyle w:val="FirstParagraph"/>
        <w:rPr>
          <w:color w:val="000000" w:themeColor="text1"/>
        </w:rPr>
      </w:pPr>
      <w:r w:rsidRPr="00CB318D">
        <w:rPr>
          <w:color w:val="000000" w:themeColor="text1"/>
        </w:rPr>
        <w:t>To assess the robustness of the study findings, a series of sensitivity analyses were conducted. These analyses examined the impact of varying the inclusion and exclusion criteria used to define the study population, and how these variations influenced both the size of the study population and the estimated overall survival.</w:t>
      </w:r>
    </w:p>
    <w:p w14:paraId="38A48468" w14:textId="77777777" w:rsidR="00935D9A" w:rsidRPr="00CB318D" w:rsidRDefault="0054436F">
      <w:pPr>
        <w:pStyle w:val="BodyText"/>
        <w:rPr>
          <w:color w:val="000000" w:themeColor="text1"/>
        </w:rPr>
      </w:pPr>
      <w:r w:rsidRPr="00CB318D">
        <w:rPr>
          <w:color w:val="000000" w:themeColor="text1"/>
        </w:rPr>
        <w:t>The table below summarises the sensitivity analyses undertaken and their corresponding effects on population size and overall survival estimates.</w:t>
      </w:r>
    </w:p>
    <w:tbl>
      <w:tblPr>
        <w:tblW w:w="0" w:type="auto"/>
        <w:jc w:val="center"/>
        <w:tblCellMar>
          <w:left w:w="60" w:type="dxa"/>
          <w:right w:w="60" w:type="dxa"/>
        </w:tblCellMar>
        <w:tblLook w:val="0000" w:firstRow="0" w:lastRow="0" w:firstColumn="0" w:lastColumn="0" w:noHBand="0" w:noVBand="0"/>
      </w:tblPr>
      <w:tblGrid>
        <w:gridCol w:w="1591"/>
        <w:gridCol w:w="4475"/>
        <w:gridCol w:w="576"/>
        <w:gridCol w:w="969"/>
        <w:gridCol w:w="1749"/>
      </w:tblGrid>
      <w:tr w:rsidR="00CB318D" w:rsidRPr="00CB318D" w14:paraId="52A85BA2" w14:textId="77777777">
        <w:trPr>
          <w:cantSplit/>
          <w:tblHeader/>
          <w:jc w:val="center"/>
        </w:trPr>
        <w:tc>
          <w:tcPr>
            <w:tcW w:w="0" w:type="auto"/>
            <w:tcBorders>
              <w:top w:val="single" w:sz="16" w:space="0" w:color="D3D3D3"/>
              <w:left w:val="single" w:sz="0" w:space="0" w:color="D3D3D3"/>
              <w:bottom w:val="single" w:sz="16" w:space="0" w:color="D3D3D3"/>
            </w:tcBorders>
          </w:tcPr>
          <w:p w14:paraId="1A7864AC" w14:textId="77777777" w:rsidR="00935D9A" w:rsidRPr="00CB318D" w:rsidRDefault="0054436F">
            <w:pPr>
              <w:keepNext/>
              <w:spacing w:after="60"/>
              <w:rPr>
                <w:color w:val="000000" w:themeColor="text1"/>
              </w:rPr>
            </w:pPr>
            <w:r w:rsidRPr="00CB318D">
              <w:rPr>
                <w:rFonts w:ascii="Calibri" w:hAnsi="Calibri"/>
                <w:color w:val="000000" w:themeColor="text1"/>
                <w:sz w:val="20"/>
              </w:rPr>
              <w:lastRenderedPageBreak/>
              <w:t>Assumption</w:t>
            </w:r>
          </w:p>
        </w:tc>
        <w:tc>
          <w:tcPr>
            <w:tcW w:w="0" w:type="auto"/>
            <w:tcBorders>
              <w:top w:val="single" w:sz="16" w:space="0" w:color="D3D3D3"/>
              <w:bottom w:val="single" w:sz="16" w:space="0" w:color="D3D3D3"/>
            </w:tcBorders>
          </w:tcPr>
          <w:p w14:paraId="17BADAA0" w14:textId="77777777" w:rsidR="00935D9A" w:rsidRPr="00CB318D" w:rsidRDefault="0054436F">
            <w:pPr>
              <w:keepNext/>
              <w:spacing w:after="60"/>
              <w:rPr>
                <w:color w:val="000000" w:themeColor="text1"/>
              </w:rPr>
            </w:pPr>
            <w:r w:rsidRPr="00CB318D">
              <w:rPr>
                <w:rFonts w:ascii="Calibri" w:hAnsi="Calibri"/>
                <w:color w:val="000000" w:themeColor="text1"/>
                <w:sz w:val="20"/>
              </w:rPr>
              <w:t>Population</w:t>
            </w:r>
          </w:p>
        </w:tc>
        <w:tc>
          <w:tcPr>
            <w:tcW w:w="0" w:type="auto"/>
            <w:tcBorders>
              <w:top w:val="single" w:sz="16" w:space="0" w:color="D3D3D3"/>
              <w:bottom w:val="single" w:sz="16" w:space="0" w:color="D3D3D3"/>
            </w:tcBorders>
          </w:tcPr>
          <w:p w14:paraId="7661F22E"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N</w:t>
            </w:r>
          </w:p>
        </w:tc>
        <w:tc>
          <w:tcPr>
            <w:tcW w:w="0" w:type="auto"/>
            <w:tcBorders>
              <w:top w:val="single" w:sz="16" w:space="0" w:color="D3D3D3"/>
              <w:bottom w:val="single" w:sz="16" w:space="0" w:color="D3D3D3"/>
            </w:tcBorders>
          </w:tcPr>
          <w:p w14:paraId="2694C88C" w14:textId="77777777" w:rsidR="00935D9A" w:rsidRPr="00CB318D" w:rsidRDefault="0054436F">
            <w:pPr>
              <w:keepNext/>
              <w:spacing w:after="60"/>
              <w:rPr>
                <w:color w:val="000000" w:themeColor="text1"/>
              </w:rPr>
            </w:pPr>
            <w:r w:rsidRPr="00CB318D">
              <w:rPr>
                <w:rFonts w:ascii="Calibri" w:hAnsi="Calibri"/>
                <w:color w:val="000000" w:themeColor="text1"/>
                <w:sz w:val="20"/>
              </w:rPr>
              <w:t>Median survival</w:t>
            </w:r>
          </w:p>
        </w:tc>
        <w:tc>
          <w:tcPr>
            <w:tcW w:w="0" w:type="auto"/>
            <w:tcBorders>
              <w:top w:val="single" w:sz="16" w:space="0" w:color="D3D3D3"/>
              <w:bottom w:val="single" w:sz="16" w:space="0" w:color="D3D3D3"/>
              <w:right w:val="single" w:sz="0" w:space="0" w:color="D3D3D3"/>
            </w:tcBorders>
          </w:tcPr>
          <w:p w14:paraId="34DE63D3" w14:textId="77777777" w:rsidR="00935D9A" w:rsidRPr="00CB318D" w:rsidRDefault="0054436F">
            <w:pPr>
              <w:keepNext/>
              <w:spacing w:after="60"/>
              <w:rPr>
                <w:color w:val="000000" w:themeColor="text1"/>
              </w:rPr>
            </w:pPr>
            <w:r w:rsidRPr="00CB318D">
              <w:rPr>
                <w:rFonts w:ascii="Calibri" w:hAnsi="Calibri"/>
                <w:color w:val="000000" w:themeColor="text1"/>
                <w:sz w:val="20"/>
              </w:rPr>
              <w:t>Restricted mean survival (Whole curve)</w:t>
            </w:r>
          </w:p>
        </w:tc>
      </w:tr>
      <w:tr w:rsidR="00CB318D" w:rsidRPr="00CB318D" w14:paraId="04DD225E"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1FD048B8" w14:textId="77777777" w:rsidR="00935D9A" w:rsidRPr="00CB318D" w:rsidRDefault="0054436F">
            <w:pPr>
              <w:keepNext/>
              <w:spacing w:after="60"/>
              <w:rPr>
                <w:color w:val="000000" w:themeColor="text1"/>
              </w:rPr>
            </w:pPr>
            <w:r w:rsidRPr="00CB318D">
              <w:rPr>
                <w:rFonts w:ascii="Calibri" w:hAnsi="Calibri"/>
                <w:color w:val="000000" w:themeColor="text1"/>
                <w:sz w:val="20"/>
              </w:rPr>
              <w:t>-</w:t>
            </w:r>
          </w:p>
        </w:tc>
        <w:tc>
          <w:tcPr>
            <w:tcW w:w="0" w:type="auto"/>
            <w:tcBorders>
              <w:top w:val="single" w:sz="0" w:space="0" w:color="D3D3D3"/>
              <w:left w:val="single" w:sz="0" w:space="0" w:color="D3D3D3"/>
              <w:bottom w:val="single" w:sz="0" w:space="0" w:color="D3D3D3"/>
              <w:right w:val="single" w:sz="0" w:space="0" w:color="D3D3D3"/>
            </w:tcBorders>
          </w:tcPr>
          <w:p w14:paraId="14827FC8" w14:textId="77777777" w:rsidR="00935D9A" w:rsidRPr="00CB318D" w:rsidRDefault="0054436F">
            <w:pPr>
              <w:keepNext/>
              <w:spacing w:after="60"/>
              <w:rPr>
                <w:color w:val="000000" w:themeColor="text1"/>
              </w:rPr>
            </w:pPr>
            <w:r w:rsidRPr="00CB318D">
              <w:rPr>
                <w:rFonts w:ascii="Calibri" w:hAnsi="Calibri"/>
                <w:color w:val="000000" w:themeColor="text1"/>
                <w:sz w:val="20"/>
              </w:rPr>
              <w:t>Base population: OFP diagnosis, any stage at diagnosis, PLD/paclitaxel monotherapy initiated, prior platinum-based therapy</w:t>
            </w:r>
          </w:p>
        </w:tc>
        <w:tc>
          <w:tcPr>
            <w:tcW w:w="0" w:type="auto"/>
            <w:tcBorders>
              <w:top w:val="single" w:sz="0" w:space="0" w:color="D3D3D3"/>
              <w:left w:val="single" w:sz="0" w:space="0" w:color="D3D3D3"/>
              <w:bottom w:val="single" w:sz="0" w:space="0" w:color="D3D3D3"/>
              <w:right w:val="single" w:sz="0" w:space="0" w:color="D3D3D3"/>
            </w:tcBorders>
          </w:tcPr>
          <w:p w14:paraId="6D6CD353"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7,083</w:t>
            </w:r>
          </w:p>
        </w:tc>
        <w:tc>
          <w:tcPr>
            <w:tcW w:w="0" w:type="auto"/>
            <w:tcBorders>
              <w:top w:val="single" w:sz="0" w:space="0" w:color="D3D3D3"/>
              <w:left w:val="single" w:sz="0" w:space="0" w:color="D3D3D3"/>
              <w:bottom w:val="single" w:sz="0" w:space="0" w:color="D3D3D3"/>
              <w:right w:val="single" w:sz="0" w:space="0" w:color="D3D3D3"/>
            </w:tcBorders>
          </w:tcPr>
          <w:p w14:paraId="02F415C9" w14:textId="77777777" w:rsidR="00935D9A" w:rsidRPr="00CB318D" w:rsidRDefault="0054436F">
            <w:pPr>
              <w:keepNext/>
              <w:spacing w:after="60"/>
              <w:rPr>
                <w:color w:val="000000" w:themeColor="text1"/>
              </w:rPr>
            </w:pPr>
            <w:r w:rsidRPr="00CB318D">
              <w:rPr>
                <w:rFonts w:ascii="Calibri" w:hAnsi="Calibri"/>
                <w:color w:val="000000" w:themeColor="text1"/>
                <w:sz w:val="20"/>
              </w:rPr>
              <w:t>8.54 months</w:t>
            </w:r>
          </w:p>
        </w:tc>
        <w:tc>
          <w:tcPr>
            <w:tcW w:w="0" w:type="auto"/>
            <w:tcBorders>
              <w:top w:val="single" w:sz="0" w:space="0" w:color="D3D3D3"/>
              <w:left w:val="single" w:sz="0" w:space="0" w:color="D3D3D3"/>
              <w:bottom w:val="single" w:sz="0" w:space="0" w:color="D3D3D3"/>
              <w:right w:val="single" w:sz="0" w:space="0" w:color="D3D3D3"/>
            </w:tcBorders>
          </w:tcPr>
          <w:p w14:paraId="68F47298" w14:textId="77777777" w:rsidR="00935D9A" w:rsidRPr="00CB318D" w:rsidRDefault="0054436F">
            <w:pPr>
              <w:keepNext/>
              <w:spacing w:after="60"/>
              <w:rPr>
                <w:color w:val="000000" w:themeColor="text1"/>
              </w:rPr>
            </w:pPr>
            <w:r w:rsidRPr="00CB318D">
              <w:rPr>
                <w:rFonts w:ascii="Calibri" w:hAnsi="Calibri"/>
                <w:color w:val="000000" w:themeColor="text1"/>
                <w:sz w:val="20"/>
              </w:rPr>
              <w:t>13.57 months</w:t>
            </w:r>
          </w:p>
        </w:tc>
      </w:tr>
      <w:tr w:rsidR="00CB318D" w:rsidRPr="00CB318D" w14:paraId="4A07F906"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327C1EE8" w14:textId="77777777" w:rsidR="00935D9A" w:rsidRPr="00CB318D" w:rsidRDefault="0054436F">
            <w:pPr>
              <w:keepNext/>
              <w:spacing w:after="60"/>
              <w:rPr>
                <w:color w:val="000000" w:themeColor="text1"/>
              </w:rPr>
            </w:pPr>
            <w:r w:rsidRPr="00CB318D">
              <w:rPr>
                <w:rFonts w:ascii="Calibri" w:hAnsi="Calibri"/>
                <w:color w:val="000000" w:themeColor="text1"/>
                <w:sz w:val="20"/>
              </w:rPr>
              <w:t>Morphology</w:t>
            </w:r>
          </w:p>
        </w:tc>
        <w:tc>
          <w:tcPr>
            <w:tcW w:w="0" w:type="auto"/>
            <w:tcBorders>
              <w:top w:val="single" w:sz="0" w:space="0" w:color="D3D3D3"/>
              <w:left w:val="single" w:sz="0" w:space="0" w:color="D3D3D3"/>
              <w:bottom w:val="single" w:sz="0" w:space="0" w:color="D3D3D3"/>
              <w:right w:val="single" w:sz="0" w:space="0" w:color="D3D3D3"/>
            </w:tcBorders>
          </w:tcPr>
          <w:p w14:paraId="5EBA6AF1" w14:textId="77777777" w:rsidR="00935D9A" w:rsidRPr="00CB318D" w:rsidRDefault="0054436F">
            <w:pPr>
              <w:keepNext/>
              <w:spacing w:after="60"/>
              <w:rPr>
                <w:color w:val="000000" w:themeColor="text1"/>
              </w:rPr>
            </w:pPr>
            <w:r w:rsidRPr="00CB318D">
              <w:rPr>
                <w:rFonts w:ascii="Calibri" w:hAnsi="Calibri"/>
                <w:color w:val="000000" w:themeColor="text1"/>
                <w:sz w:val="20"/>
              </w:rPr>
              <w:t>Base population, but only individuals with an epithelial morphology code (stricter population)</w:t>
            </w:r>
          </w:p>
        </w:tc>
        <w:tc>
          <w:tcPr>
            <w:tcW w:w="0" w:type="auto"/>
            <w:tcBorders>
              <w:top w:val="single" w:sz="0" w:space="0" w:color="D3D3D3"/>
              <w:left w:val="single" w:sz="0" w:space="0" w:color="D3D3D3"/>
              <w:bottom w:val="single" w:sz="0" w:space="0" w:color="D3D3D3"/>
              <w:right w:val="single" w:sz="0" w:space="0" w:color="D3D3D3"/>
            </w:tcBorders>
          </w:tcPr>
          <w:p w14:paraId="30A59663"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7,004</w:t>
            </w:r>
          </w:p>
        </w:tc>
        <w:tc>
          <w:tcPr>
            <w:tcW w:w="0" w:type="auto"/>
            <w:tcBorders>
              <w:top w:val="single" w:sz="0" w:space="0" w:color="D3D3D3"/>
              <w:left w:val="single" w:sz="0" w:space="0" w:color="D3D3D3"/>
              <w:bottom w:val="single" w:sz="0" w:space="0" w:color="D3D3D3"/>
              <w:right w:val="single" w:sz="0" w:space="0" w:color="D3D3D3"/>
            </w:tcBorders>
          </w:tcPr>
          <w:p w14:paraId="5B8730F3" w14:textId="77777777" w:rsidR="00935D9A" w:rsidRPr="00CB318D" w:rsidRDefault="0054436F">
            <w:pPr>
              <w:keepNext/>
              <w:spacing w:after="60"/>
              <w:rPr>
                <w:color w:val="000000" w:themeColor="text1"/>
              </w:rPr>
            </w:pPr>
            <w:r w:rsidRPr="00CB318D">
              <w:rPr>
                <w:rFonts w:ascii="Calibri" w:hAnsi="Calibri"/>
                <w:color w:val="000000" w:themeColor="text1"/>
                <w:sz w:val="20"/>
              </w:rPr>
              <w:t>8.51 months</w:t>
            </w:r>
          </w:p>
        </w:tc>
        <w:tc>
          <w:tcPr>
            <w:tcW w:w="0" w:type="auto"/>
            <w:tcBorders>
              <w:top w:val="single" w:sz="0" w:space="0" w:color="D3D3D3"/>
              <w:left w:val="single" w:sz="0" w:space="0" w:color="D3D3D3"/>
              <w:bottom w:val="single" w:sz="0" w:space="0" w:color="D3D3D3"/>
              <w:right w:val="single" w:sz="0" w:space="0" w:color="D3D3D3"/>
            </w:tcBorders>
          </w:tcPr>
          <w:p w14:paraId="6C6DC413" w14:textId="77777777" w:rsidR="00935D9A" w:rsidRPr="00CB318D" w:rsidRDefault="0054436F">
            <w:pPr>
              <w:keepNext/>
              <w:spacing w:after="60"/>
              <w:rPr>
                <w:color w:val="000000" w:themeColor="text1"/>
              </w:rPr>
            </w:pPr>
            <w:r w:rsidRPr="00CB318D">
              <w:rPr>
                <w:rFonts w:ascii="Calibri" w:hAnsi="Calibri"/>
                <w:color w:val="000000" w:themeColor="text1"/>
                <w:sz w:val="20"/>
              </w:rPr>
              <w:t>13.54 months</w:t>
            </w:r>
          </w:p>
        </w:tc>
      </w:tr>
      <w:tr w:rsidR="00CB318D" w:rsidRPr="00CB318D" w14:paraId="32F65965"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EE93937" w14:textId="77777777" w:rsidR="00935D9A" w:rsidRPr="00CB318D" w:rsidRDefault="0054436F">
            <w:pPr>
              <w:keepNext/>
              <w:spacing w:after="60"/>
              <w:rPr>
                <w:color w:val="000000" w:themeColor="text1"/>
              </w:rPr>
            </w:pPr>
            <w:r w:rsidRPr="00CB318D">
              <w:rPr>
                <w:rFonts w:ascii="Calibri" w:hAnsi="Calibri"/>
                <w:color w:val="000000" w:themeColor="text1"/>
                <w:sz w:val="20"/>
              </w:rPr>
              <w:t>Staging at diagnosis</w:t>
            </w:r>
          </w:p>
        </w:tc>
        <w:tc>
          <w:tcPr>
            <w:tcW w:w="0" w:type="auto"/>
            <w:tcBorders>
              <w:top w:val="single" w:sz="0" w:space="0" w:color="D3D3D3"/>
              <w:left w:val="single" w:sz="0" w:space="0" w:color="D3D3D3"/>
              <w:bottom w:val="single" w:sz="0" w:space="0" w:color="D3D3D3"/>
              <w:right w:val="single" w:sz="0" w:space="0" w:color="D3D3D3"/>
            </w:tcBorders>
          </w:tcPr>
          <w:p w14:paraId="4444CB3F" w14:textId="77777777" w:rsidR="00935D9A" w:rsidRPr="00CB318D" w:rsidRDefault="0054436F">
            <w:pPr>
              <w:keepNext/>
              <w:spacing w:after="60"/>
              <w:rPr>
                <w:color w:val="000000" w:themeColor="text1"/>
              </w:rPr>
            </w:pPr>
            <w:r w:rsidRPr="00CB318D">
              <w:rPr>
                <w:rFonts w:ascii="Calibri" w:hAnsi="Calibri"/>
                <w:color w:val="000000" w:themeColor="text1"/>
                <w:sz w:val="20"/>
              </w:rPr>
              <w:t>Base population, but only individuals with stage 3/4 at diagnosis (stricter population)</w:t>
            </w:r>
          </w:p>
        </w:tc>
        <w:tc>
          <w:tcPr>
            <w:tcW w:w="0" w:type="auto"/>
            <w:tcBorders>
              <w:top w:val="single" w:sz="0" w:space="0" w:color="D3D3D3"/>
              <w:left w:val="single" w:sz="0" w:space="0" w:color="D3D3D3"/>
              <w:bottom w:val="single" w:sz="0" w:space="0" w:color="D3D3D3"/>
              <w:right w:val="single" w:sz="0" w:space="0" w:color="D3D3D3"/>
            </w:tcBorders>
          </w:tcPr>
          <w:p w14:paraId="1E3608AE"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5,798</w:t>
            </w:r>
          </w:p>
        </w:tc>
        <w:tc>
          <w:tcPr>
            <w:tcW w:w="0" w:type="auto"/>
            <w:tcBorders>
              <w:top w:val="single" w:sz="0" w:space="0" w:color="D3D3D3"/>
              <w:left w:val="single" w:sz="0" w:space="0" w:color="D3D3D3"/>
              <w:bottom w:val="single" w:sz="0" w:space="0" w:color="D3D3D3"/>
              <w:right w:val="single" w:sz="0" w:space="0" w:color="D3D3D3"/>
            </w:tcBorders>
          </w:tcPr>
          <w:p w14:paraId="19F7B80E" w14:textId="77777777" w:rsidR="00935D9A" w:rsidRPr="00CB318D" w:rsidRDefault="0054436F">
            <w:pPr>
              <w:keepNext/>
              <w:spacing w:after="60"/>
              <w:rPr>
                <w:color w:val="000000" w:themeColor="text1"/>
              </w:rPr>
            </w:pPr>
            <w:r w:rsidRPr="00CB318D">
              <w:rPr>
                <w:rFonts w:ascii="Calibri" w:hAnsi="Calibri"/>
                <w:color w:val="000000" w:themeColor="text1"/>
                <w:sz w:val="20"/>
              </w:rPr>
              <w:t>8.51 months</w:t>
            </w:r>
          </w:p>
        </w:tc>
        <w:tc>
          <w:tcPr>
            <w:tcW w:w="0" w:type="auto"/>
            <w:tcBorders>
              <w:top w:val="single" w:sz="0" w:space="0" w:color="D3D3D3"/>
              <w:left w:val="single" w:sz="0" w:space="0" w:color="D3D3D3"/>
              <w:bottom w:val="single" w:sz="0" w:space="0" w:color="D3D3D3"/>
              <w:right w:val="single" w:sz="0" w:space="0" w:color="D3D3D3"/>
            </w:tcBorders>
          </w:tcPr>
          <w:p w14:paraId="4F5CB771" w14:textId="77777777" w:rsidR="00935D9A" w:rsidRPr="00CB318D" w:rsidRDefault="0054436F">
            <w:pPr>
              <w:keepNext/>
              <w:spacing w:after="60"/>
              <w:rPr>
                <w:color w:val="000000" w:themeColor="text1"/>
              </w:rPr>
            </w:pPr>
            <w:r w:rsidRPr="00CB318D">
              <w:rPr>
                <w:rFonts w:ascii="Calibri" w:hAnsi="Calibri"/>
                <w:color w:val="000000" w:themeColor="text1"/>
                <w:sz w:val="20"/>
              </w:rPr>
              <w:t>13.19 months</w:t>
            </w:r>
          </w:p>
        </w:tc>
      </w:tr>
      <w:tr w:rsidR="00CB318D" w:rsidRPr="00CB318D" w14:paraId="2EC055D7"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FD04E62" w14:textId="77777777" w:rsidR="00935D9A" w:rsidRPr="00CB318D" w:rsidRDefault="0054436F">
            <w:pPr>
              <w:keepNext/>
              <w:spacing w:after="60"/>
              <w:rPr>
                <w:color w:val="000000" w:themeColor="text1"/>
              </w:rPr>
            </w:pPr>
            <w:r w:rsidRPr="00CB318D">
              <w:rPr>
                <w:rFonts w:ascii="Calibri" w:hAnsi="Calibri"/>
                <w:color w:val="000000" w:themeColor="text1"/>
                <w:sz w:val="20"/>
              </w:rPr>
              <w:t>Intent of treatment</w:t>
            </w:r>
          </w:p>
        </w:tc>
        <w:tc>
          <w:tcPr>
            <w:tcW w:w="0" w:type="auto"/>
            <w:tcBorders>
              <w:top w:val="single" w:sz="0" w:space="0" w:color="D3D3D3"/>
              <w:left w:val="single" w:sz="0" w:space="0" w:color="D3D3D3"/>
              <w:bottom w:val="single" w:sz="0" w:space="0" w:color="D3D3D3"/>
              <w:right w:val="single" w:sz="0" w:space="0" w:color="D3D3D3"/>
            </w:tcBorders>
          </w:tcPr>
          <w:p w14:paraId="655BE582" w14:textId="77777777" w:rsidR="00935D9A" w:rsidRPr="00CB318D" w:rsidRDefault="0054436F">
            <w:pPr>
              <w:keepNext/>
              <w:spacing w:after="60"/>
              <w:rPr>
                <w:color w:val="000000" w:themeColor="text1"/>
              </w:rPr>
            </w:pPr>
            <w:r w:rsidRPr="00CB318D">
              <w:rPr>
                <w:rFonts w:ascii="Calibri" w:hAnsi="Calibri"/>
                <w:color w:val="000000" w:themeColor="text1"/>
                <w:sz w:val="20"/>
              </w:rPr>
              <w:t>Base population, but including PLD or paclitaxel regimens given with adjuvant, neoadjuvant or curative intent (relaxed population)</w:t>
            </w:r>
          </w:p>
        </w:tc>
        <w:tc>
          <w:tcPr>
            <w:tcW w:w="0" w:type="auto"/>
            <w:tcBorders>
              <w:top w:val="single" w:sz="0" w:space="0" w:color="D3D3D3"/>
              <w:left w:val="single" w:sz="0" w:space="0" w:color="D3D3D3"/>
              <w:bottom w:val="single" w:sz="0" w:space="0" w:color="D3D3D3"/>
              <w:right w:val="single" w:sz="0" w:space="0" w:color="D3D3D3"/>
            </w:tcBorders>
          </w:tcPr>
          <w:p w14:paraId="11809940"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7,331</w:t>
            </w:r>
          </w:p>
        </w:tc>
        <w:tc>
          <w:tcPr>
            <w:tcW w:w="0" w:type="auto"/>
            <w:tcBorders>
              <w:top w:val="single" w:sz="0" w:space="0" w:color="D3D3D3"/>
              <w:left w:val="single" w:sz="0" w:space="0" w:color="D3D3D3"/>
              <w:bottom w:val="single" w:sz="0" w:space="0" w:color="D3D3D3"/>
              <w:right w:val="single" w:sz="0" w:space="0" w:color="D3D3D3"/>
            </w:tcBorders>
          </w:tcPr>
          <w:p w14:paraId="0D83EABE" w14:textId="77777777" w:rsidR="00935D9A" w:rsidRPr="00CB318D" w:rsidRDefault="0054436F">
            <w:pPr>
              <w:keepNext/>
              <w:spacing w:after="60"/>
              <w:rPr>
                <w:color w:val="000000" w:themeColor="text1"/>
              </w:rPr>
            </w:pPr>
            <w:r w:rsidRPr="00CB318D">
              <w:rPr>
                <w:rFonts w:ascii="Calibri" w:hAnsi="Calibri"/>
                <w:color w:val="000000" w:themeColor="text1"/>
                <w:sz w:val="20"/>
              </w:rPr>
              <w:t>8.54 months</w:t>
            </w:r>
          </w:p>
        </w:tc>
        <w:tc>
          <w:tcPr>
            <w:tcW w:w="0" w:type="auto"/>
            <w:tcBorders>
              <w:top w:val="single" w:sz="0" w:space="0" w:color="D3D3D3"/>
              <w:left w:val="single" w:sz="0" w:space="0" w:color="D3D3D3"/>
              <w:bottom w:val="single" w:sz="0" w:space="0" w:color="D3D3D3"/>
              <w:right w:val="single" w:sz="0" w:space="0" w:color="D3D3D3"/>
            </w:tcBorders>
          </w:tcPr>
          <w:p w14:paraId="18D1413C" w14:textId="77777777" w:rsidR="00935D9A" w:rsidRPr="00CB318D" w:rsidRDefault="0054436F">
            <w:pPr>
              <w:keepNext/>
              <w:spacing w:after="60"/>
              <w:rPr>
                <w:color w:val="000000" w:themeColor="text1"/>
              </w:rPr>
            </w:pPr>
            <w:r w:rsidRPr="00CB318D">
              <w:rPr>
                <w:rFonts w:ascii="Calibri" w:hAnsi="Calibri"/>
                <w:color w:val="000000" w:themeColor="text1"/>
                <w:sz w:val="20"/>
              </w:rPr>
              <w:t>13.62 months</w:t>
            </w:r>
          </w:p>
        </w:tc>
      </w:tr>
      <w:tr w:rsidR="00CB318D" w:rsidRPr="00CB318D" w14:paraId="7DC15CAE"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3A9F80B" w14:textId="77777777" w:rsidR="00935D9A" w:rsidRPr="00CB318D" w:rsidRDefault="0054436F">
            <w:pPr>
              <w:keepNext/>
              <w:spacing w:after="60"/>
              <w:rPr>
                <w:color w:val="000000" w:themeColor="text1"/>
              </w:rPr>
            </w:pPr>
            <w:r w:rsidRPr="00CB318D">
              <w:rPr>
                <w:rFonts w:ascii="Calibri" w:hAnsi="Calibri"/>
                <w:color w:val="000000" w:themeColor="text1"/>
                <w:sz w:val="20"/>
              </w:rPr>
              <w:t>Prior platinum-based therapy</w:t>
            </w:r>
          </w:p>
        </w:tc>
        <w:tc>
          <w:tcPr>
            <w:tcW w:w="0" w:type="auto"/>
            <w:tcBorders>
              <w:top w:val="single" w:sz="0" w:space="0" w:color="D3D3D3"/>
              <w:left w:val="single" w:sz="0" w:space="0" w:color="D3D3D3"/>
              <w:bottom w:val="single" w:sz="0" w:space="0" w:color="D3D3D3"/>
              <w:right w:val="single" w:sz="0" w:space="0" w:color="D3D3D3"/>
            </w:tcBorders>
          </w:tcPr>
          <w:p w14:paraId="4A9D76CB" w14:textId="77777777" w:rsidR="00935D9A" w:rsidRPr="00CB318D" w:rsidRDefault="0054436F">
            <w:pPr>
              <w:keepNext/>
              <w:spacing w:after="60"/>
              <w:rPr>
                <w:color w:val="000000" w:themeColor="text1"/>
              </w:rPr>
            </w:pPr>
            <w:r w:rsidRPr="00CB318D">
              <w:rPr>
                <w:rFonts w:ascii="Calibri" w:hAnsi="Calibri"/>
                <w:color w:val="000000" w:themeColor="text1"/>
                <w:sz w:val="20"/>
              </w:rPr>
              <w:t>Base population, but removing need for a prior platinum-based therapy (relaxed population)</w:t>
            </w:r>
          </w:p>
        </w:tc>
        <w:tc>
          <w:tcPr>
            <w:tcW w:w="0" w:type="auto"/>
            <w:tcBorders>
              <w:top w:val="single" w:sz="0" w:space="0" w:color="D3D3D3"/>
              <w:left w:val="single" w:sz="0" w:space="0" w:color="D3D3D3"/>
              <w:bottom w:val="single" w:sz="0" w:space="0" w:color="D3D3D3"/>
              <w:right w:val="single" w:sz="0" w:space="0" w:color="D3D3D3"/>
            </w:tcBorders>
          </w:tcPr>
          <w:p w14:paraId="15E31773"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7,596</w:t>
            </w:r>
          </w:p>
        </w:tc>
        <w:tc>
          <w:tcPr>
            <w:tcW w:w="0" w:type="auto"/>
            <w:tcBorders>
              <w:top w:val="single" w:sz="0" w:space="0" w:color="D3D3D3"/>
              <w:left w:val="single" w:sz="0" w:space="0" w:color="D3D3D3"/>
              <w:bottom w:val="single" w:sz="0" w:space="0" w:color="D3D3D3"/>
              <w:right w:val="single" w:sz="0" w:space="0" w:color="D3D3D3"/>
            </w:tcBorders>
          </w:tcPr>
          <w:p w14:paraId="4407581D" w14:textId="77777777" w:rsidR="00935D9A" w:rsidRPr="00CB318D" w:rsidRDefault="0054436F">
            <w:pPr>
              <w:keepNext/>
              <w:spacing w:after="60"/>
              <w:rPr>
                <w:color w:val="000000" w:themeColor="text1"/>
              </w:rPr>
            </w:pPr>
            <w:r w:rsidRPr="00CB318D">
              <w:rPr>
                <w:rFonts w:ascii="Calibri" w:hAnsi="Calibri"/>
                <w:color w:val="000000" w:themeColor="text1"/>
                <w:sz w:val="20"/>
              </w:rPr>
              <w:t>8.61 months</w:t>
            </w:r>
          </w:p>
        </w:tc>
        <w:tc>
          <w:tcPr>
            <w:tcW w:w="0" w:type="auto"/>
            <w:tcBorders>
              <w:top w:val="single" w:sz="0" w:space="0" w:color="D3D3D3"/>
              <w:left w:val="single" w:sz="0" w:space="0" w:color="D3D3D3"/>
              <w:bottom w:val="single" w:sz="0" w:space="0" w:color="D3D3D3"/>
              <w:right w:val="single" w:sz="0" w:space="0" w:color="D3D3D3"/>
            </w:tcBorders>
          </w:tcPr>
          <w:p w14:paraId="68CC395C" w14:textId="77777777" w:rsidR="00935D9A" w:rsidRPr="00CB318D" w:rsidRDefault="0054436F">
            <w:pPr>
              <w:keepNext/>
              <w:spacing w:after="60"/>
              <w:rPr>
                <w:color w:val="000000" w:themeColor="text1"/>
              </w:rPr>
            </w:pPr>
            <w:r w:rsidRPr="00CB318D">
              <w:rPr>
                <w:rFonts w:ascii="Calibri" w:hAnsi="Calibri"/>
                <w:color w:val="000000" w:themeColor="text1"/>
                <w:sz w:val="20"/>
              </w:rPr>
              <w:t>13.82 months</w:t>
            </w:r>
          </w:p>
        </w:tc>
      </w:tr>
    </w:tbl>
    <w:tbl>
      <w:tblPr>
        <w:tblStyle w:val="Table"/>
        <w:tblW w:w="5000" w:type="pct"/>
        <w:tblLayout w:type="fixed"/>
        <w:tblLook w:val="0000" w:firstRow="0" w:lastRow="0" w:firstColumn="0" w:lastColumn="0" w:noHBand="0" w:noVBand="0"/>
      </w:tblPr>
      <w:tblGrid>
        <w:gridCol w:w="9360"/>
      </w:tblGrid>
      <w:tr w:rsidR="00CB318D" w:rsidRPr="00CB318D" w14:paraId="67DA049A" w14:textId="77777777" w:rsidTr="000B4AFB">
        <w:tc>
          <w:tcPr>
            <w:tcW w:w="9360" w:type="dxa"/>
          </w:tcPr>
          <w:p w14:paraId="7E0D6C61" w14:textId="77777777" w:rsidR="00935D9A" w:rsidRPr="00CB318D" w:rsidRDefault="0054436F">
            <w:pPr>
              <w:pStyle w:val="ImageCaption"/>
              <w:spacing w:before="200"/>
              <w:rPr>
                <w:color w:val="000000" w:themeColor="text1"/>
              </w:rPr>
            </w:pPr>
            <w:bookmarkStart w:id="8" w:name="tbl-sens"/>
            <w:r w:rsidRPr="00CB318D">
              <w:rPr>
                <w:color w:val="000000" w:themeColor="text1"/>
              </w:rPr>
              <w:t>Table 1: Sensitivity analyses</w:t>
            </w:r>
          </w:p>
          <w:bookmarkEnd w:id="8"/>
          <w:p w14:paraId="7CEB3EED" w14:textId="77777777" w:rsidR="00935D9A" w:rsidRPr="00CB318D" w:rsidRDefault="00935D9A">
            <w:pPr>
              <w:rPr>
                <w:color w:val="000000" w:themeColor="text1"/>
              </w:rPr>
            </w:pPr>
          </w:p>
        </w:tc>
      </w:tr>
    </w:tbl>
    <w:p w14:paraId="513221C4" w14:textId="77777777" w:rsidR="000B4AFB" w:rsidRPr="00CB318D" w:rsidRDefault="000B4AFB" w:rsidP="000B4AFB">
      <w:pPr>
        <w:pStyle w:val="Heading4"/>
        <w:rPr>
          <w:color w:val="000000" w:themeColor="text1"/>
        </w:rPr>
      </w:pPr>
      <w:bookmarkStart w:id="9" w:name="flow-chart"/>
      <w:r w:rsidRPr="00CB318D">
        <w:rPr>
          <w:color w:val="000000" w:themeColor="text1"/>
        </w:rPr>
        <w:t>Flow chart</w:t>
      </w:r>
    </w:p>
    <w:tbl>
      <w:tblPr>
        <w:tblStyle w:val="Table"/>
        <w:tblW w:w="5000" w:type="pct"/>
        <w:tblLook w:val="0020" w:firstRow="1" w:lastRow="0" w:firstColumn="0" w:lastColumn="0" w:noHBand="0" w:noVBand="0"/>
      </w:tblPr>
      <w:tblGrid>
        <w:gridCol w:w="9360"/>
      </w:tblGrid>
      <w:tr w:rsidR="00CB318D" w:rsidRPr="00CB318D" w14:paraId="6140AE39" w14:textId="77777777" w:rsidTr="00215699">
        <w:trPr>
          <w:cnfStyle w:val="100000000000" w:firstRow="1" w:lastRow="0" w:firstColumn="0" w:lastColumn="0" w:oddVBand="0" w:evenVBand="0" w:oddHBand="0" w:evenHBand="0" w:firstRowFirstColumn="0" w:firstRowLastColumn="0" w:lastRowFirstColumn="0" w:lastRowLastColumn="0"/>
        </w:trPr>
        <w:tc>
          <w:tcPr>
            <w:tcW w:w="0" w:type="auto"/>
          </w:tcPr>
          <w:p w14:paraId="0B464ACD" w14:textId="77777777" w:rsidR="000B4AFB" w:rsidRPr="00CB318D" w:rsidRDefault="000B4AFB" w:rsidP="000E3042">
            <w:pPr>
              <w:jc w:val="center"/>
              <w:rPr>
                <w:color w:val="000000" w:themeColor="text1"/>
              </w:rPr>
            </w:pPr>
            <w:bookmarkStart w:id="10" w:name="fig-flow-ch1"/>
            <w:r w:rsidRPr="00CB318D">
              <w:rPr>
                <w:noProof/>
                <w:color w:val="000000" w:themeColor="text1"/>
              </w:rPr>
              <w:drawing>
                <wp:inline distT="0" distB="0" distL="0" distR="0" wp14:anchorId="0968A9FC" wp14:editId="0F4DE3E5">
                  <wp:extent cx="5943600" cy="3567506"/>
                  <wp:effectExtent l="0" t="0" r="0" b="0"/>
                  <wp:docPr id="33" name="Picture" title="A flowchart showing how exclusion criteria reduce the sample to xxx cases"/>
                  <wp:cNvGraphicFramePr/>
                  <a:graphic xmlns:a="http://schemas.openxmlformats.org/drawingml/2006/main">
                    <a:graphicData uri="http://schemas.openxmlformats.org/drawingml/2006/picture">
                      <pic:pic xmlns:pic="http://schemas.openxmlformats.org/drawingml/2006/picture">
                        <pic:nvPicPr>
                          <pic:cNvPr id="34" name="Picture" descr="ID6443_MS_for_OFP_cancers_files/figure-docx/fig-flow-ch1-1.png"/>
                          <pic:cNvPicPr>
                            <a:picLocks noChangeAspect="1" noChangeArrowheads="1"/>
                          </pic:cNvPicPr>
                        </pic:nvPicPr>
                        <pic:blipFill>
                          <a:blip r:embed="rId10"/>
                          <a:stretch>
                            <a:fillRect/>
                          </a:stretch>
                        </pic:blipFill>
                        <pic:spPr bwMode="auto">
                          <a:xfrm>
                            <a:off x="0" y="0"/>
                            <a:ext cx="5943600" cy="3567506"/>
                          </a:xfrm>
                          <a:prstGeom prst="rect">
                            <a:avLst/>
                          </a:prstGeom>
                          <a:noFill/>
                          <a:ln w="9525">
                            <a:noFill/>
                            <a:headEnd/>
                            <a:tailEnd/>
                          </a:ln>
                        </pic:spPr>
                      </pic:pic>
                    </a:graphicData>
                  </a:graphic>
                </wp:inline>
              </w:drawing>
            </w:r>
          </w:p>
          <w:p w14:paraId="22B051D9" w14:textId="77777777" w:rsidR="000B4AFB" w:rsidRPr="00CB318D" w:rsidRDefault="000B4AFB" w:rsidP="000E3042">
            <w:pPr>
              <w:pStyle w:val="ImageCaption"/>
              <w:spacing w:before="200"/>
              <w:rPr>
                <w:color w:val="000000" w:themeColor="text1"/>
              </w:rPr>
            </w:pPr>
            <w:r w:rsidRPr="00CB318D">
              <w:rPr>
                <w:color w:val="000000" w:themeColor="text1"/>
              </w:rPr>
              <w:t>Figure 1: Inclusion / Exclusion Flow Chart</w:t>
            </w:r>
          </w:p>
        </w:tc>
        <w:bookmarkEnd w:id="10"/>
      </w:tr>
    </w:tbl>
    <w:p w14:paraId="4D2FEC83" w14:textId="77777777" w:rsidR="00935D9A" w:rsidRPr="00CB318D" w:rsidRDefault="0054436F">
      <w:pPr>
        <w:pStyle w:val="Heading3"/>
        <w:rPr>
          <w:color w:val="000000" w:themeColor="text1"/>
        </w:rPr>
      </w:pPr>
      <w:bookmarkStart w:id="11" w:name="patient-acknowledgement"/>
      <w:bookmarkEnd w:id="7"/>
      <w:bookmarkEnd w:id="9"/>
      <w:r w:rsidRPr="00CB318D">
        <w:rPr>
          <w:color w:val="000000" w:themeColor="text1"/>
        </w:rPr>
        <w:lastRenderedPageBreak/>
        <w:t>Patient acknowledgement</w:t>
      </w:r>
    </w:p>
    <w:p w14:paraId="42913196" w14:textId="77777777" w:rsidR="00935D9A" w:rsidRPr="00CB318D" w:rsidRDefault="0054436F">
      <w:pPr>
        <w:pStyle w:val="FirstParagraph"/>
        <w:rPr>
          <w:color w:val="000000" w:themeColor="text1"/>
        </w:rPr>
      </w:pPr>
      <w:r w:rsidRPr="00CB318D">
        <w:rPr>
          <w:color w:val="000000" w:themeColor="text1"/>
        </w:rPr>
        <w:t>This work uses data that has been provided by patients and collected by the NHS as part of their care and support. The data is collated, maintained and quality assured by the National Cancer Registration and Analysis Service, which is part of NHS England.</w:t>
      </w:r>
    </w:p>
    <w:p w14:paraId="572812B8" w14:textId="77777777" w:rsidR="00935D9A" w:rsidRPr="00CB318D" w:rsidRDefault="0054436F">
      <w:pPr>
        <w:rPr>
          <w:color w:val="000000" w:themeColor="text1"/>
        </w:rPr>
      </w:pPr>
      <w:r w:rsidRPr="00CB318D">
        <w:rPr>
          <w:color w:val="000000" w:themeColor="text1"/>
        </w:rPr>
        <w:br w:type="page"/>
      </w:r>
    </w:p>
    <w:p w14:paraId="376304C5" w14:textId="77777777" w:rsidR="00935D9A" w:rsidRPr="00CB318D" w:rsidRDefault="0054436F">
      <w:pPr>
        <w:pStyle w:val="Heading2"/>
        <w:rPr>
          <w:color w:val="000000" w:themeColor="text1"/>
        </w:rPr>
      </w:pPr>
      <w:bookmarkStart w:id="12" w:name="results"/>
      <w:bookmarkEnd w:id="4"/>
      <w:bookmarkEnd w:id="11"/>
      <w:r w:rsidRPr="00CB318D">
        <w:rPr>
          <w:color w:val="000000" w:themeColor="text1"/>
        </w:rPr>
        <w:lastRenderedPageBreak/>
        <w:t>Results</w:t>
      </w:r>
    </w:p>
    <w:p w14:paraId="6CBAD0EE" w14:textId="77777777" w:rsidR="00935D9A" w:rsidRPr="00CB318D" w:rsidRDefault="0054436F">
      <w:pPr>
        <w:pStyle w:val="Heading3"/>
        <w:rPr>
          <w:color w:val="000000" w:themeColor="text1"/>
        </w:rPr>
      </w:pPr>
      <w:bookmarkStart w:id="13" w:name="age-at-start-of-treatment"/>
      <w:r w:rsidRPr="00CB318D">
        <w:rPr>
          <w:color w:val="000000" w:themeColor="text1"/>
        </w:rPr>
        <w:t>Age at start of treatment</w:t>
      </w:r>
    </w:p>
    <w:p w14:paraId="55EE32B8" w14:textId="77777777" w:rsidR="00935D9A" w:rsidRPr="00CB318D" w:rsidRDefault="0054436F">
      <w:pPr>
        <w:pStyle w:val="FirstParagraph"/>
        <w:rPr>
          <w:color w:val="000000" w:themeColor="text1"/>
        </w:rPr>
      </w:pPr>
      <w:r w:rsidRPr="00CB318D">
        <w:rPr>
          <w:color w:val="000000" w:themeColor="text1"/>
        </w:rPr>
        <w:t>The table below sets out the mean age, standard deviation, median age and interquartile range (IQR) of patients who have received PLD or paclitaxel for platinum-resistant advanced epithelial ovarian, fallopian tube or primary peritoneal cancer. Age is measured at the commencement of the first treatment regimen of PLD or paclitaxel monotherapy.</w:t>
      </w:r>
      <w:r w:rsidRPr="00CB318D">
        <w:rPr>
          <w:color w:val="000000" w:themeColor="text1"/>
        </w:rPr>
        <w:br/>
      </w:r>
    </w:p>
    <w:tbl>
      <w:tblPr>
        <w:tblW w:w="0" w:type="auto"/>
        <w:jc w:val="center"/>
        <w:tblCellMar>
          <w:left w:w="60" w:type="dxa"/>
          <w:right w:w="60" w:type="dxa"/>
        </w:tblCellMar>
        <w:tblLook w:val="0000" w:firstRow="0" w:lastRow="0" w:firstColumn="0" w:lastColumn="0" w:noHBand="0" w:noVBand="0"/>
      </w:tblPr>
      <w:tblGrid>
        <w:gridCol w:w="1991"/>
        <w:gridCol w:w="1756"/>
      </w:tblGrid>
      <w:tr w:rsidR="00CB318D" w:rsidRPr="00CB318D" w14:paraId="04746552" w14:textId="77777777">
        <w:trPr>
          <w:cantSplit/>
          <w:tblHeader/>
          <w:jc w:val="center"/>
        </w:trPr>
        <w:tc>
          <w:tcPr>
            <w:tcW w:w="0" w:type="auto"/>
            <w:tcBorders>
              <w:top w:val="single" w:sz="16" w:space="0" w:color="D3D3D3"/>
              <w:left w:val="single" w:sz="0" w:space="0" w:color="D3D3D3"/>
              <w:bottom w:val="single" w:sz="16" w:space="0" w:color="D3D3D3"/>
            </w:tcBorders>
          </w:tcPr>
          <w:p w14:paraId="2E1CAB37" w14:textId="77777777" w:rsidR="00935D9A" w:rsidRPr="00CB318D" w:rsidRDefault="0054436F">
            <w:pPr>
              <w:keepNext/>
              <w:spacing w:after="60"/>
              <w:rPr>
                <w:color w:val="000000" w:themeColor="text1"/>
              </w:rPr>
            </w:pPr>
            <w:r w:rsidRPr="00CB318D">
              <w:rPr>
                <w:rFonts w:ascii="Calibri" w:hAnsi="Calibri"/>
                <w:b/>
                <w:color w:val="000000" w:themeColor="text1"/>
                <w:sz w:val="20"/>
              </w:rPr>
              <w:t>Characteristic</w:t>
            </w:r>
          </w:p>
        </w:tc>
        <w:tc>
          <w:tcPr>
            <w:tcW w:w="0" w:type="auto"/>
            <w:tcBorders>
              <w:top w:val="single" w:sz="16" w:space="0" w:color="D3D3D3"/>
              <w:bottom w:val="single" w:sz="16" w:space="0" w:color="D3D3D3"/>
              <w:right w:val="single" w:sz="0" w:space="0" w:color="D3D3D3"/>
            </w:tcBorders>
          </w:tcPr>
          <w:p w14:paraId="1CE125D0" w14:textId="77777777" w:rsidR="00935D9A" w:rsidRPr="00CB318D" w:rsidRDefault="0054436F">
            <w:pPr>
              <w:keepNext/>
              <w:spacing w:after="60"/>
              <w:jc w:val="center"/>
              <w:rPr>
                <w:color w:val="000000" w:themeColor="text1"/>
              </w:rPr>
            </w:pPr>
            <w:r w:rsidRPr="00CB318D">
              <w:rPr>
                <w:rFonts w:ascii="Calibri" w:hAnsi="Calibri"/>
                <w:b/>
                <w:color w:val="000000" w:themeColor="text1"/>
                <w:sz w:val="20"/>
              </w:rPr>
              <w:t>N = 7,083</w:t>
            </w:r>
            <w:r w:rsidRPr="00CB318D">
              <w:rPr>
                <w:rFonts w:ascii="Calibri" w:hAnsi="Calibri"/>
                <w:i/>
                <w:color w:val="000000" w:themeColor="text1"/>
                <w:sz w:val="20"/>
                <w:vertAlign w:val="superscript"/>
              </w:rPr>
              <w:t>1</w:t>
            </w:r>
          </w:p>
        </w:tc>
      </w:tr>
      <w:tr w:rsidR="00CB318D" w:rsidRPr="00CB318D" w14:paraId="63E19561"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05FBC95" w14:textId="77777777" w:rsidR="00935D9A" w:rsidRPr="00CB318D" w:rsidRDefault="0054436F">
            <w:pPr>
              <w:keepNext/>
              <w:spacing w:after="60"/>
              <w:rPr>
                <w:color w:val="000000" w:themeColor="text1"/>
              </w:rPr>
            </w:pPr>
            <w:r w:rsidRPr="00CB318D">
              <w:rPr>
                <w:rFonts w:ascii="Calibri" w:hAnsi="Calibri"/>
                <w:color w:val="000000" w:themeColor="text1"/>
                <w:sz w:val="20"/>
              </w:rPr>
              <w:t>Age at start of regimen</w:t>
            </w:r>
          </w:p>
        </w:tc>
        <w:tc>
          <w:tcPr>
            <w:tcW w:w="0" w:type="auto"/>
            <w:tcBorders>
              <w:top w:val="single" w:sz="0" w:space="0" w:color="D3D3D3"/>
              <w:left w:val="single" w:sz="0" w:space="0" w:color="D3D3D3"/>
              <w:bottom w:val="single" w:sz="0" w:space="0" w:color="D3D3D3"/>
              <w:right w:val="single" w:sz="0" w:space="0" w:color="D3D3D3"/>
            </w:tcBorders>
          </w:tcPr>
          <w:p w14:paraId="73D23FAC" w14:textId="77777777" w:rsidR="00935D9A" w:rsidRPr="00CB318D" w:rsidRDefault="0054436F">
            <w:pPr>
              <w:keepNext/>
              <w:spacing w:after="60"/>
              <w:jc w:val="center"/>
              <w:rPr>
                <w:color w:val="000000" w:themeColor="text1"/>
              </w:rPr>
            </w:pPr>
            <w:r w:rsidRPr="00CB318D">
              <w:rPr>
                <w:rFonts w:ascii="Calibri" w:hAnsi="Calibri"/>
                <w:color w:val="000000" w:themeColor="text1"/>
                <w:sz w:val="20"/>
              </w:rPr>
              <w:t>67, (10) : 68 (60, 75)</w:t>
            </w:r>
          </w:p>
        </w:tc>
      </w:tr>
      <w:tr w:rsidR="00CB318D" w:rsidRPr="00CB318D" w14:paraId="2C3786DD" w14:textId="77777777">
        <w:trPr>
          <w:cantSplit/>
          <w:jc w:val="center"/>
        </w:trPr>
        <w:tc>
          <w:tcPr>
            <w:tcW w:w="0" w:type="auto"/>
            <w:gridSpan w:val="2"/>
          </w:tcPr>
          <w:p w14:paraId="602CA80B" w14:textId="77777777" w:rsidR="00935D9A" w:rsidRPr="00CB318D" w:rsidRDefault="0054436F">
            <w:pPr>
              <w:keepNext/>
              <w:spacing w:after="60"/>
              <w:rPr>
                <w:color w:val="000000" w:themeColor="text1"/>
              </w:rPr>
            </w:pPr>
            <w:r w:rsidRPr="00CB318D">
              <w:rPr>
                <w:rFonts w:ascii="Calibri" w:hAnsi="Calibri"/>
                <w:i/>
                <w:color w:val="000000" w:themeColor="text1"/>
                <w:sz w:val="20"/>
                <w:vertAlign w:val="superscript"/>
              </w:rPr>
              <w:t>1</w:t>
            </w:r>
            <w:r w:rsidRPr="00CB318D">
              <w:rPr>
                <w:rFonts w:ascii="Calibri" w:hAnsi="Calibri"/>
                <w:color w:val="000000" w:themeColor="text1"/>
                <w:sz w:val="20"/>
              </w:rPr>
              <w:t>Mean, (SD</w:t>
            </w:r>
            <w:proofErr w:type="gramStart"/>
            <w:r w:rsidRPr="00CB318D">
              <w:rPr>
                <w:rFonts w:ascii="Calibri" w:hAnsi="Calibri"/>
                <w:color w:val="000000" w:themeColor="text1"/>
                <w:sz w:val="20"/>
              </w:rPr>
              <w:t>) :</w:t>
            </w:r>
            <w:proofErr w:type="gramEnd"/>
            <w:r w:rsidRPr="00CB318D">
              <w:rPr>
                <w:rFonts w:ascii="Calibri" w:hAnsi="Calibri"/>
                <w:color w:val="000000" w:themeColor="text1"/>
                <w:sz w:val="20"/>
              </w:rPr>
              <w:t xml:space="preserve"> Median (Q1, Q3)</w:t>
            </w:r>
          </w:p>
        </w:tc>
      </w:tr>
    </w:tbl>
    <w:tbl>
      <w:tblPr>
        <w:tblStyle w:val="Table"/>
        <w:tblW w:w="5000" w:type="pct"/>
        <w:tblLayout w:type="fixed"/>
        <w:tblLook w:val="0000" w:firstRow="0" w:lastRow="0" w:firstColumn="0" w:lastColumn="0" w:noHBand="0" w:noVBand="0"/>
      </w:tblPr>
      <w:tblGrid>
        <w:gridCol w:w="9360"/>
      </w:tblGrid>
      <w:tr w:rsidR="00CB318D" w:rsidRPr="00CB318D" w14:paraId="10CB5836" w14:textId="77777777">
        <w:tc>
          <w:tcPr>
            <w:tcW w:w="7920" w:type="dxa"/>
          </w:tcPr>
          <w:p w14:paraId="693D9018" w14:textId="77777777" w:rsidR="00935D9A" w:rsidRPr="00CB318D" w:rsidRDefault="0054436F">
            <w:pPr>
              <w:pStyle w:val="ImageCaption"/>
              <w:spacing w:before="200"/>
              <w:rPr>
                <w:color w:val="000000" w:themeColor="text1"/>
              </w:rPr>
            </w:pPr>
            <w:bookmarkStart w:id="14" w:name="tbl-age-dist-ch1"/>
            <w:r w:rsidRPr="00CB318D">
              <w:rPr>
                <w:color w:val="000000" w:themeColor="text1"/>
              </w:rPr>
              <w:t>Table 2: Mean age, standard deviation, median age and IQR of patients who have received PLD or paclitaxel monotherapy</w:t>
            </w:r>
          </w:p>
          <w:bookmarkEnd w:id="14"/>
          <w:p w14:paraId="30E65EB0" w14:textId="77777777" w:rsidR="00935D9A" w:rsidRPr="00CB318D" w:rsidRDefault="00935D9A">
            <w:pPr>
              <w:rPr>
                <w:color w:val="000000" w:themeColor="text1"/>
              </w:rPr>
            </w:pPr>
          </w:p>
        </w:tc>
      </w:tr>
      <w:tr w:rsidR="00CB318D" w:rsidRPr="00CB318D" w14:paraId="04E2EE03" w14:textId="77777777">
        <w:tc>
          <w:tcPr>
            <w:tcW w:w="7920" w:type="dxa"/>
          </w:tcPr>
          <w:p w14:paraId="6403D406" w14:textId="03CCF7E8" w:rsidR="00935D9A" w:rsidRPr="00CB318D" w:rsidRDefault="0054436F">
            <w:pPr>
              <w:pStyle w:val="ImageCaption"/>
              <w:spacing w:before="200"/>
              <w:rPr>
                <w:color w:val="000000" w:themeColor="text1"/>
              </w:rPr>
            </w:pPr>
            <w:bookmarkStart w:id="15" w:name="fig-age-dist-ch1"/>
            <w:r w:rsidRPr="00CB318D">
              <w:rPr>
                <w:color w:val="000000" w:themeColor="text1"/>
              </w:rPr>
              <w:t>Figure </w:t>
            </w:r>
            <w:r w:rsidR="000B4AFB" w:rsidRPr="00CB318D">
              <w:rPr>
                <w:color w:val="000000" w:themeColor="text1"/>
              </w:rPr>
              <w:t>2</w:t>
            </w:r>
            <w:r w:rsidRPr="00CB318D">
              <w:rPr>
                <w:color w:val="000000" w:themeColor="text1"/>
              </w:rPr>
              <w:t>: Age distribution of patients who have received PLD or paclitaxel monotherapy</w:t>
            </w:r>
          </w:p>
          <w:p w14:paraId="01E9E42B" w14:textId="77777777" w:rsidR="00935D9A" w:rsidRPr="00CB318D" w:rsidRDefault="0054436F">
            <w:pPr>
              <w:pStyle w:val="Compact"/>
              <w:jc w:val="center"/>
              <w:rPr>
                <w:color w:val="000000" w:themeColor="text1"/>
              </w:rPr>
            </w:pPr>
            <w:r w:rsidRPr="00CB318D">
              <w:rPr>
                <w:noProof/>
                <w:color w:val="000000" w:themeColor="text1"/>
              </w:rPr>
              <w:drawing>
                <wp:inline distT="0" distB="0" distL="0" distR="0" wp14:anchorId="54EE30F7" wp14:editId="50D95E21">
                  <wp:extent cx="4620126" cy="3696101"/>
                  <wp:effectExtent l="0" t="0" r="0" b="0"/>
                  <wp:docPr id="38" name="Picture" title="A histogram showing age distribution for individuals who have received PLD or paclitaxel monotherapy"/>
                  <wp:cNvGraphicFramePr/>
                  <a:graphic xmlns:a="http://schemas.openxmlformats.org/drawingml/2006/main">
                    <a:graphicData uri="http://schemas.openxmlformats.org/drawingml/2006/picture">
                      <pic:pic xmlns:pic="http://schemas.openxmlformats.org/drawingml/2006/picture">
                        <pic:nvPicPr>
                          <pic:cNvPr id="39" name="Picture" descr="ID6442_MS_for_OFP_cancers_updated_death_rjw_files/figure-docx/fig-age-dist-ch1-1.png"/>
                          <pic:cNvPicPr>
                            <a:picLocks noChangeAspect="1" noChangeArrowheads="1"/>
                          </pic:cNvPicPr>
                        </pic:nvPicPr>
                        <pic:blipFill>
                          <a:blip r:embed="rId11"/>
                          <a:stretch>
                            <a:fillRect/>
                          </a:stretch>
                        </pic:blipFill>
                        <pic:spPr bwMode="auto">
                          <a:xfrm>
                            <a:off x="0" y="0"/>
                            <a:ext cx="4620126" cy="3696101"/>
                          </a:xfrm>
                          <a:prstGeom prst="rect">
                            <a:avLst/>
                          </a:prstGeom>
                          <a:noFill/>
                          <a:ln w="9525">
                            <a:noFill/>
                            <a:headEnd/>
                            <a:tailEnd/>
                          </a:ln>
                        </pic:spPr>
                      </pic:pic>
                    </a:graphicData>
                  </a:graphic>
                </wp:inline>
              </w:drawing>
            </w:r>
          </w:p>
        </w:tc>
        <w:bookmarkEnd w:id="15"/>
      </w:tr>
    </w:tbl>
    <w:p w14:paraId="10D198E6" w14:textId="77777777" w:rsidR="00935D9A" w:rsidRPr="00CB318D" w:rsidRDefault="0054436F">
      <w:pPr>
        <w:rPr>
          <w:color w:val="000000" w:themeColor="text1"/>
        </w:rPr>
      </w:pPr>
      <w:r w:rsidRPr="00CB318D">
        <w:rPr>
          <w:color w:val="000000" w:themeColor="text1"/>
        </w:rPr>
        <w:br w:type="page"/>
      </w:r>
    </w:p>
    <w:p w14:paraId="53E375AD" w14:textId="77777777" w:rsidR="00935D9A" w:rsidRPr="00CB318D" w:rsidRDefault="0054436F">
      <w:pPr>
        <w:pStyle w:val="Heading3"/>
        <w:rPr>
          <w:color w:val="000000" w:themeColor="text1"/>
        </w:rPr>
      </w:pPr>
      <w:bookmarkStart w:id="16" w:name="overall-survival"/>
      <w:bookmarkEnd w:id="13"/>
      <w:r w:rsidRPr="00CB318D">
        <w:rPr>
          <w:color w:val="000000" w:themeColor="text1"/>
        </w:rPr>
        <w:lastRenderedPageBreak/>
        <w:t>Overall survival</w:t>
      </w:r>
    </w:p>
    <w:p w14:paraId="58265F66" w14:textId="77777777" w:rsidR="00935D9A" w:rsidRPr="00CB318D" w:rsidRDefault="0054436F">
      <w:pPr>
        <w:pStyle w:val="Heading4"/>
        <w:rPr>
          <w:color w:val="000000" w:themeColor="text1"/>
        </w:rPr>
      </w:pPr>
      <w:bookmarkStart w:id="17" w:name="base-k-m-plot"/>
      <w:r w:rsidRPr="00CB318D">
        <w:rPr>
          <w:color w:val="000000" w:themeColor="text1"/>
        </w:rPr>
        <w:t>Base K-M plot</w:t>
      </w:r>
    </w:p>
    <w:p w14:paraId="5326C3A4" w14:textId="77777777" w:rsidR="00935D9A" w:rsidRPr="00CB318D" w:rsidRDefault="0054436F">
      <w:pPr>
        <w:pStyle w:val="FirstParagraph"/>
        <w:rPr>
          <w:color w:val="000000" w:themeColor="text1"/>
        </w:rPr>
      </w:pPr>
      <w:r w:rsidRPr="00CB318D">
        <w:rPr>
          <w:color w:val="000000" w:themeColor="text1"/>
        </w:rPr>
        <w:t>The Kaplan-Meier plot below shows survival over time for those receiving a treatment regimen of PLD or paclitaxel monotherapy.</w:t>
      </w:r>
    </w:p>
    <w:p w14:paraId="112C4086" w14:textId="77777777" w:rsidR="00935D9A" w:rsidRPr="00CB318D" w:rsidRDefault="0054436F">
      <w:pPr>
        <w:pStyle w:val="BodyText"/>
        <w:rPr>
          <w:color w:val="000000" w:themeColor="text1"/>
        </w:rPr>
      </w:pPr>
      <w:r w:rsidRPr="00CB318D">
        <w:rPr>
          <w:color w:val="000000" w:themeColor="text1"/>
        </w:rPr>
        <w:t>Median survival was 8.54 months. Restricted mean survival (over the whole curve) was 13.57 months. The minimum follow-up time was 0.1 months, median 8.3 months, and maximum follow-up time of 113 months.</w:t>
      </w:r>
    </w:p>
    <w:tbl>
      <w:tblPr>
        <w:tblStyle w:val="Table"/>
        <w:tblW w:w="5000" w:type="pct"/>
        <w:tblLayout w:type="fixed"/>
        <w:tblLook w:val="0020" w:firstRow="1" w:lastRow="0" w:firstColumn="0" w:lastColumn="0" w:noHBand="0" w:noVBand="0"/>
      </w:tblPr>
      <w:tblGrid>
        <w:gridCol w:w="9360"/>
      </w:tblGrid>
      <w:tr w:rsidR="00CB318D" w:rsidRPr="00CB318D" w14:paraId="7E2EDF25" w14:textId="77777777" w:rsidTr="00215699">
        <w:trPr>
          <w:cnfStyle w:val="100000000000" w:firstRow="1" w:lastRow="0" w:firstColumn="0" w:lastColumn="0" w:oddVBand="0" w:evenVBand="0" w:oddHBand="0" w:evenHBand="0" w:firstRowFirstColumn="0" w:firstRowLastColumn="0" w:lastRowFirstColumn="0" w:lastRowLastColumn="0"/>
        </w:trPr>
        <w:tc>
          <w:tcPr>
            <w:tcW w:w="7920" w:type="dxa"/>
          </w:tcPr>
          <w:p w14:paraId="69B41544" w14:textId="4743C7A0" w:rsidR="00935D9A" w:rsidRPr="00CB318D" w:rsidRDefault="0054436F">
            <w:pPr>
              <w:pStyle w:val="ImageCaption"/>
              <w:spacing w:before="200"/>
              <w:rPr>
                <w:color w:val="000000" w:themeColor="text1"/>
              </w:rPr>
            </w:pPr>
            <w:bookmarkStart w:id="18" w:name="fig-km-ch1"/>
            <w:r w:rsidRPr="00CB318D">
              <w:rPr>
                <w:color w:val="000000" w:themeColor="text1"/>
              </w:rPr>
              <w:t>Figure </w:t>
            </w:r>
            <w:r w:rsidR="00291865" w:rsidRPr="00CB318D">
              <w:rPr>
                <w:color w:val="000000" w:themeColor="text1"/>
              </w:rPr>
              <w:t>3</w:t>
            </w:r>
            <w:r w:rsidRPr="00CB318D">
              <w:rPr>
                <w:color w:val="000000" w:themeColor="text1"/>
              </w:rPr>
              <w:t>: Overall survival amongst patients who have received PLD or paclitaxel monotherapy</w:t>
            </w:r>
          </w:p>
          <w:p w14:paraId="3CA0C192" w14:textId="77777777" w:rsidR="00935D9A" w:rsidRPr="00CB318D" w:rsidRDefault="0054436F">
            <w:pPr>
              <w:pStyle w:val="Compact"/>
              <w:jc w:val="center"/>
              <w:rPr>
                <w:color w:val="000000" w:themeColor="text1"/>
              </w:rPr>
            </w:pPr>
            <w:r w:rsidRPr="00CB318D">
              <w:rPr>
                <w:noProof/>
                <w:color w:val="000000" w:themeColor="text1"/>
              </w:rPr>
              <w:drawing>
                <wp:inline distT="0" distB="0" distL="0" distR="0" wp14:anchorId="3DFCEF21" wp14:editId="2B6EA858">
                  <wp:extent cx="5943600" cy="3657600"/>
                  <wp:effectExtent l="0" t="0" r="0" b="0"/>
                  <wp:docPr id="43" name="Picture" title="A Kaplan-Meier plot showing overall survival over time for individuals who have received PLD or paclitaxel monotherapy."/>
                  <wp:cNvGraphicFramePr/>
                  <a:graphic xmlns:a="http://schemas.openxmlformats.org/drawingml/2006/main">
                    <a:graphicData uri="http://schemas.openxmlformats.org/drawingml/2006/picture">
                      <pic:pic xmlns:pic="http://schemas.openxmlformats.org/drawingml/2006/picture">
                        <pic:nvPicPr>
                          <pic:cNvPr id="44" name="Picture" descr="ID6442_MS_for_OFP_cancers_updated_death_rjw_files/figure-docx/fig-km-ch1-1.png"/>
                          <pic:cNvPicPr>
                            <a:picLocks noChangeAspect="1" noChangeArrowheads="1"/>
                          </pic:cNvPicPr>
                        </pic:nvPicPr>
                        <pic:blipFill>
                          <a:blip r:embed="rId12"/>
                          <a:stretch>
                            <a:fillRect/>
                          </a:stretch>
                        </pic:blipFill>
                        <pic:spPr bwMode="auto">
                          <a:xfrm>
                            <a:off x="0" y="0"/>
                            <a:ext cx="5943600" cy="3657600"/>
                          </a:xfrm>
                          <a:prstGeom prst="rect">
                            <a:avLst/>
                          </a:prstGeom>
                          <a:noFill/>
                          <a:ln w="9525">
                            <a:noFill/>
                            <a:headEnd/>
                            <a:tailEnd/>
                          </a:ln>
                        </pic:spPr>
                      </pic:pic>
                    </a:graphicData>
                  </a:graphic>
                </wp:inline>
              </w:drawing>
            </w:r>
          </w:p>
        </w:tc>
        <w:bookmarkEnd w:id="18"/>
      </w:tr>
    </w:tbl>
    <w:p w14:paraId="673377DD" w14:textId="77777777" w:rsidR="00935D9A" w:rsidRPr="00CB318D" w:rsidRDefault="0054436F">
      <w:pPr>
        <w:rPr>
          <w:color w:val="000000" w:themeColor="text1"/>
        </w:rPr>
      </w:pPr>
      <w:r w:rsidRPr="00CB318D">
        <w:rPr>
          <w:color w:val="000000" w:themeColor="text1"/>
        </w:rPr>
        <w:br w:type="page"/>
      </w:r>
    </w:p>
    <w:p w14:paraId="3C8A4901" w14:textId="77777777" w:rsidR="00935D9A" w:rsidRPr="00CB318D" w:rsidRDefault="0054436F">
      <w:pPr>
        <w:pStyle w:val="Heading4"/>
        <w:rPr>
          <w:color w:val="000000" w:themeColor="text1"/>
        </w:rPr>
      </w:pPr>
      <w:bookmarkStart w:id="19" w:name="exponential"/>
      <w:bookmarkEnd w:id="17"/>
      <w:r w:rsidRPr="00CB318D">
        <w:rPr>
          <w:color w:val="000000" w:themeColor="text1"/>
        </w:rPr>
        <w:lastRenderedPageBreak/>
        <w:t>Exponential</w:t>
      </w:r>
    </w:p>
    <w:tbl>
      <w:tblPr>
        <w:tblStyle w:val="Table"/>
        <w:tblW w:w="5000" w:type="pct"/>
        <w:tblLayout w:type="fixed"/>
        <w:tblLook w:val="0020" w:firstRow="1" w:lastRow="0" w:firstColumn="0" w:lastColumn="0" w:noHBand="0" w:noVBand="0"/>
      </w:tblPr>
      <w:tblGrid>
        <w:gridCol w:w="9360"/>
      </w:tblGrid>
      <w:tr w:rsidR="00CB318D" w:rsidRPr="00CB318D" w14:paraId="633CB66E" w14:textId="77777777" w:rsidTr="00215699">
        <w:trPr>
          <w:cnfStyle w:val="100000000000" w:firstRow="1" w:lastRow="0" w:firstColumn="0" w:lastColumn="0" w:oddVBand="0" w:evenVBand="0" w:oddHBand="0" w:evenHBand="0" w:firstRowFirstColumn="0" w:firstRowLastColumn="0" w:lastRowFirstColumn="0" w:lastRowLastColumn="0"/>
        </w:trPr>
        <w:tc>
          <w:tcPr>
            <w:tcW w:w="7920" w:type="dxa"/>
          </w:tcPr>
          <w:p w14:paraId="201F7E89" w14:textId="678DA9D0" w:rsidR="00935D9A" w:rsidRPr="00CB318D" w:rsidRDefault="0054436F">
            <w:pPr>
              <w:pStyle w:val="ImageCaption"/>
              <w:spacing w:before="200"/>
              <w:rPr>
                <w:color w:val="000000" w:themeColor="text1"/>
              </w:rPr>
            </w:pPr>
            <w:bookmarkStart w:id="20" w:name="fig-km_exp-ch1"/>
            <w:r w:rsidRPr="00CB318D">
              <w:rPr>
                <w:color w:val="000000" w:themeColor="text1"/>
              </w:rPr>
              <w:t>Figure </w:t>
            </w:r>
            <w:r w:rsidR="00291865" w:rsidRPr="00CB318D">
              <w:rPr>
                <w:color w:val="000000" w:themeColor="text1"/>
              </w:rPr>
              <w:t>4</w:t>
            </w:r>
            <w:r w:rsidRPr="00CB318D">
              <w:rPr>
                <w:color w:val="000000" w:themeColor="text1"/>
              </w:rPr>
              <w:t>: Overall survival against exponential survival function</w:t>
            </w:r>
          </w:p>
          <w:p w14:paraId="73461912" w14:textId="77777777" w:rsidR="00935D9A" w:rsidRPr="00CB318D" w:rsidRDefault="0054436F">
            <w:pPr>
              <w:pStyle w:val="Compact"/>
              <w:jc w:val="center"/>
              <w:rPr>
                <w:color w:val="000000" w:themeColor="text1"/>
              </w:rPr>
            </w:pPr>
            <w:r w:rsidRPr="00CB318D">
              <w:rPr>
                <w:noProof/>
                <w:color w:val="000000" w:themeColor="text1"/>
              </w:rPr>
              <w:drawing>
                <wp:inline distT="0" distB="0" distL="0" distR="0" wp14:anchorId="4F3D0C43" wp14:editId="740C4D70">
                  <wp:extent cx="5943600" cy="3657600"/>
                  <wp:effectExtent l="0" t="0" r="0" b="0"/>
                  <wp:docPr id="48" name="Picture" title="A Kaplan-Meier plot showing overall survival over time for individuals who have received PLD or paclitaxel monotherapy, with an overlaid exponential model fit."/>
                  <wp:cNvGraphicFramePr/>
                  <a:graphic xmlns:a="http://schemas.openxmlformats.org/drawingml/2006/main">
                    <a:graphicData uri="http://schemas.openxmlformats.org/drawingml/2006/picture">
                      <pic:pic xmlns:pic="http://schemas.openxmlformats.org/drawingml/2006/picture">
                        <pic:nvPicPr>
                          <pic:cNvPr id="49" name="Picture" descr="ID6442_MS_for_OFP_cancers_updated_death_rjw_files/figure-docx/fig-km_exp-ch1-1.png"/>
                          <pic:cNvPicPr>
                            <a:picLocks noChangeAspect="1" noChangeArrowheads="1"/>
                          </pic:cNvPicPr>
                        </pic:nvPicPr>
                        <pic:blipFill>
                          <a:blip r:embed="rId13"/>
                          <a:stretch>
                            <a:fillRect/>
                          </a:stretch>
                        </pic:blipFill>
                        <pic:spPr bwMode="auto">
                          <a:xfrm>
                            <a:off x="0" y="0"/>
                            <a:ext cx="5943600" cy="3657600"/>
                          </a:xfrm>
                          <a:prstGeom prst="rect">
                            <a:avLst/>
                          </a:prstGeom>
                          <a:noFill/>
                          <a:ln w="9525">
                            <a:noFill/>
                            <a:headEnd/>
                            <a:tailEnd/>
                          </a:ln>
                        </pic:spPr>
                      </pic:pic>
                    </a:graphicData>
                  </a:graphic>
                </wp:inline>
              </w:drawing>
            </w:r>
          </w:p>
        </w:tc>
        <w:bookmarkEnd w:id="20"/>
      </w:tr>
    </w:tbl>
    <w:p w14:paraId="2B2F9392" w14:textId="77777777" w:rsidR="00935D9A" w:rsidRPr="00CB318D" w:rsidRDefault="00935D9A">
      <w:pPr>
        <w:pStyle w:val="BodyText"/>
        <w:rPr>
          <w:color w:val="000000" w:themeColor="text1"/>
        </w:rPr>
      </w:pPr>
    </w:p>
    <w:tbl>
      <w:tblPr>
        <w:tblW w:w="0" w:type="auto"/>
        <w:jc w:val="center"/>
        <w:tblCellMar>
          <w:left w:w="60" w:type="dxa"/>
          <w:right w:w="60" w:type="dxa"/>
        </w:tblCellMar>
        <w:tblLook w:val="0000" w:firstRow="0" w:lastRow="0" w:firstColumn="0" w:lastColumn="0" w:noHBand="0" w:noVBand="0"/>
      </w:tblPr>
      <w:tblGrid>
        <w:gridCol w:w="990"/>
        <w:gridCol w:w="831"/>
        <w:gridCol w:w="892"/>
        <w:gridCol w:w="881"/>
        <w:gridCol w:w="723"/>
      </w:tblGrid>
      <w:tr w:rsidR="00CB318D" w:rsidRPr="00CB318D" w14:paraId="516B28C1" w14:textId="77777777">
        <w:trPr>
          <w:cantSplit/>
          <w:tblHeader/>
          <w:jc w:val="center"/>
        </w:trPr>
        <w:tc>
          <w:tcPr>
            <w:tcW w:w="0" w:type="auto"/>
            <w:tcBorders>
              <w:top w:val="single" w:sz="16" w:space="0" w:color="D3D3D3"/>
              <w:left w:val="single" w:sz="0" w:space="0" w:color="D3D3D3"/>
              <w:bottom w:val="single" w:sz="16" w:space="0" w:color="D3D3D3"/>
            </w:tcBorders>
          </w:tcPr>
          <w:p w14:paraId="5B3D1A4F" w14:textId="77777777" w:rsidR="00935D9A" w:rsidRPr="00CB318D" w:rsidRDefault="0054436F">
            <w:pPr>
              <w:keepNext/>
              <w:spacing w:after="60"/>
              <w:rPr>
                <w:color w:val="000000" w:themeColor="text1"/>
              </w:rPr>
            </w:pPr>
            <w:r w:rsidRPr="00CB318D">
              <w:rPr>
                <w:rFonts w:ascii="Calibri" w:hAnsi="Calibri"/>
                <w:color w:val="000000" w:themeColor="text1"/>
                <w:sz w:val="20"/>
              </w:rPr>
              <w:t>Parameter</w:t>
            </w:r>
          </w:p>
        </w:tc>
        <w:tc>
          <w:tcPr>
            <w:tcW w:w="0" w:type="auto"/>
            <w:tcBorders>
              <w:top w:val="single" w:sz="16" w:space="0" w:color="D3D3D3"/>
              <w:bottom w:val="single" w:sz="16" w:space="0" w:color="D3D3D3"/>
            </w:tcBorders>
          </w:tcPr>
          <w:p w14:paraId="52273379"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Estimate</w:t>
            </w:r>
          </w:p>
        </w:tc>
        <w:tc>
          <w:tcPr>
            <w:tcW w:w="0" w:type="auto"/>
            <w:tcBorders>
              <w:top w:val="single" w:sz="16" w:space="0" w:color="D3D3D3"/>
              <w:bottom w:val="single" w:sz="16" w:space="0" w:color="D3D3D3"/>
            </w:tcBorders>
          </w:tcPr>
          <w:p w14:paraId="44EE7C94"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Std. Error</w:t>
            </w:r>
          </w:p>
        </w:tc>
        <w:tc>
          <w:tcPr>
            <w:tcW w:w="0" w:type="auto"/>
            <w:tcBorders>
              <w:top w:val="single" w:sz="16" w:space="0" w:color="D3D3D3"/>
              <w:bottom w:val="single" w:sz="16" w:space="0" w:color="D3D3D3"/>
            </w:tcBorders>
          </w:tcPr>
          <w:p w14:paraId="0C2E0885"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z</w:t>
            </w:r>
          </w:p>
        </w:tc>
        <w:tc>
          <w:tcPr>
            <w:tcW w:w="0" w:type="auto"/>
            <w:tcBorders>
              <w:top w:val="single" w:sz="16" w:space="0" w:color="D3D3D3"/>
              <w:bottom w:val="single" w:sz="16" w:space="0" w:color="D3D3D3"/>
              <w:right w:val="single" w:sz="0" w:space="0" w:color="D3D3D3"/>
            </w:tcBorders>
          </w:tcPr>
          <w:p w14:paraId="5D09861F"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p-value</w:t>
            </w:r>
          </w:p>
        </w:tc>
      </w:tr>
      <w:tr w:rsidR="00CB318D" w:rsidRPr="00CB318D" w14:paraId="77BE06D3"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1707579F" w14:textId="77777777" w:rsidR="00935D9A" w:rsidRPr="00CB318D" w:rsidRDefault="0054436F">
            <w:pPr>
              <w:keepNext/>
              <w:spacing w:after="60"/>
              <w:rPr>
                <w:color w:val="000000" w:themeColor="text1"/>
              </w:rPr>
            </w:pPr>
            <w:r w:rsidRPr="00CB318D">
              <w:rPr>
                <w:rFonts w:ascii="Calibri" w:hAnsi="Calibri"/>
                <w:color w:val="000000" w:themeColor="text1"/>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0FB92AA2"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2.562</w:t>
            </w:r>
          </w:p>
        </w:tc>
        <w:tc>
          <w:tcPr>
            <w:tcW w:w="0" w:type="auto"/>
            <w:tcBorders>
              <w:top w:val="single" w:sz="0" w:space="0" w:color="D3D3D3"/>
              <w:left w:val="single" w:sz="0" w:space="0" w:color="D3D3D3"/>
              <w:bottom w:val="single" w:sz="0" w:space="0" w:color="D3D3D3"/>
              <w:right w:val="single" w:sz="0" w:space="0" w:color="D3D3D3"/>
            </w:tcBorders>
          </w:tcPr>
          <w:p w14:paraId="4DA54159"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0.012</w:t>
            </w:r>
          </w:p>
        </w:tc>
        <w:tc>
          <w:tcPr>
            <w:tcW w:w="0" w:type="auto"/>
            <w:tcBorders>
              <w:top w:val="single" w:sz="0" w:space="0" w:color="D3D3D3"/>
              <w:left w:val="single" w:sz="0" w:space="0" w:color="D3D3D3"/>
              <w:bottom w:val="single" w:sz="0" w:space="0" w:color="D3D3D3"/>
              <w:right w:val="single" w:sz="0" w:space="0" w:color="D3D3D3"/>
            </w:tcBorders>
          </w:tcPr>
          <w:p w14:paraId="57C8CB86"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206.6982</w:t>
            </w:r>
          </w:p>
        </w:tc>
        <w:tc>
          <w:tcPr>
            <w:tcW w:w="0" w:type="auto"/>
            <w:tcBorders>
              <w:top w:val="single" w:sz="0" w:space="0" w:color="D3D3D3"/>
              <w:left w:val="single" w:sz="0" w:space="0" w:color="D3D3D3"/>
              <w:bottom w:val="single" w:sz="0" w:space="0" w:color="D3D3D3"/>
              <w:right w:val="single" w:sz="0" w:space="0" w:color="D3D3D3"/>
            </w:tcBorders>
          </w:tcPr>
          <w:p w14:paraId="4D34A580"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w:t>
            </w:r>
          </w:p>
        </w:tc>
      </w:tr>
      <w:tr w:rsidR="00CB318D" w:rsidRPr="00CB318D" w14:paraId="5F7E01A6" w14:textId="77777777">
        <w:trPr>
          <w:cantSplit/>
          <w:jc w:val="center"/>
        </w:trPr>
        <w:tc>
          <w:tcPr>
            <w:tcW w:w="0" w:type="auto"/>
            <w:gridSpan w:val="5"/>
          </w:tcPr>
          <w:p w14:paraId="5018B8FF" w14:textId="77777777" w:rsidR="00935D9A" w:rsidRPr="00CB318D" w:rsidRDefault="0054436F">
            <w:pPr>
              <w:keepNext/>
              <w:spacing w:after="60"/>
              <w:rPr>
                <w:color w:val="000000" w:themeColor="text1"/>
              </w:rPr>
            </w:pPr>
            <w:r w:rsidRPr="00CB318D">
              <w:rPr>
                <w:rFonts w:ascii="Calibri" w:hAnsi="Calibri"/>
                <w:color w:val="000000" w:themeColor="text1"/>
                <w:sz w:val="20"/>
              </w:rPr>
              <w:t>log-likelihood = -23187.3564491549</w:t>
            </w:r>
          </w:p>
        </w:tc>
      </w:tr>
      <w:tr w:rsidR="00CB318D" w:rsidRPr="00CB318D" w14:paraId="55C321ED" w14:textId="77777777">
        <w:trPr>
          <w:cantSplit/>
          <w:jc w:val="center"/>
        </w:trPr>
        <w:tc>
          <w:tcPr>
            <w:tcW w:w="0" w:type="auto"/>
            <w:gridSpan w:val="5"/>
          </w:tcPr>
          <w:p w14:paraId="0012368B" w14:textId="77777777" w:rsidR="00935D9A" w:rsidRPr="00CB318D" w:rsidRDefault="0054436F">
            <w:pPr>
              <w:keepNext/>
              <w:spacing w:after="60"/>
              <w:rPr>
                <w:color w:val="000000" w:themeColor="text1"/>
              </w:rPr>
            </w:pPr>
            <w:r w:rsidRPr="00CB318D">
              <w:rPr>
                <w:rFonts w:ascii="Calibri" w:hAnsi="Calibri"/>
                <w:color w:val="000000" w:themeColor="text1"/>
                <w:sz w:val="20"/>
              </w:rPr>
              <w:t>AIC = 46376.7128983098</w:t>
            </w:r>
          </w:p>
        </w:tc>
      </w:tr>
      <w:tr w:rsidR="00CB318D" w:rsidRPr="00CB318D" w14:paraId="2E02E9EC" w14:textId="77777777">
        <w:trPr>
          <w:cantSplit/>
          <w:jc w:val="center"/>
        </w:trPr>
        <w:tc>
          <w:tcPr>
            <w:tcW w:w="0" w:type="auto"/>
            <w:gridSpan w:val="5"/>
          </w:tcPr>
          <w:p w14:paraId="39F95A1D" w14:textId="77777777" w:rsidR="00935D9A" w:rsidRPr="00CB318D" w:rsidRDefault="0054436F">
            <w:pPr>
              <w:keepNext/>
              <w:spacing w:after="60"/>
              <w:rPr>
                <w:color w:val="000000" w:themeColor="text1"/>
              </w:rPr>
            </w:pPr>
            <w:r w:rsidRPr="00CB318D">
              <w:rPr>
                <w:rFonts w:ascii="Calibri" w:hAnsi="Calibri"/>
                <w:color w:val="000000" w:themeColor="text1"/>
                <w:sz w:val="20"/>
              </w:rPr>
              <w:t>BIC = 46383.5783511355</w:t>
            </w:r>
          </w:p>
        </w:tc>
      </w:tr>
    </w:tbl>
    <w:tbl>
      <w:tblPr>
        <w:tblStyle w:val="Table"/>
        <w:tblW w:w="5000" w:type="pct"/>
        <w:tblLayout w:type="fixed"/>
        <w:tblLook w:val="0000" w:firstRow="0" w:lastRow="0" w:firstColumn="0" w:lastColumn="0" w:noHBand="0" w:noVBand="0"/>
      </w:tblPr>
      <w:tblGrid>
        <w:gridCol w:w="9360"/>
      </w:tblGrid>
      <w:tr w:rsidR="00CB318D" w:rsidRPr="00CB318D" w14:paraId="1C8F38F5" w14:textId="77777777">
        <w:tc>
          <w:tcPr>
            <w:tcW w:w="7920" w:type="dxa"/>
          </w:tcPr>
          <w:p w14:paraId="40D4BEFA" w14:textId="77777777" w:rsidR="00935D9A" w:rsidRPr="00CB318D" w:rsidRDefault="0054436F">
            <w:pPr>
              <w:pStyle w:val="ImageCaption"/>
              <w:spacing w:before="200"/>
              <w:rPr>
                <w:color w:val="000000" w:themeColor="text1"/>
              </w:rPr>
            </w:pPr>
            <w:bookmarkStart w:id="21" w:name="tbl-km-exp-ch1"/>
            <w:r w:rsidRPr="00CB318D">
              <w:rPr>
                <w:color w:val="000000" w:themeColor="text1"/>
              </w:rPr>
              <w:t>Table 3: Survival model fit summary (exponential distribution)</w:t>
            </w:r>
          </w:p>
          <w:bookmarkEnd w:id="21"/>
          <w:p w14:paraId="0111A262" w14:textId="77777777" w:rsidR="00935D9A" w:rsidRPr="00CB318D" w:rsidRDefault="00935D9A">
            <w:pPr>
              <w:rPr>
                <w:color w:val="000000" w:themeColor="text1"/>
              </w:rPr>
            </w:pPr>
          </w:p>
        </w:tc>
      </w:tr>
    </w:tbl>
    <w:p w14:paraId="3D88E10D" w14:textId="77777777" w:rsidR="00935D9A" w:rsidRPr="00CB318D" w:rsidRDefault="0054436F">
      <w:pPr>
        <w:rPr>
          <w:color w:val="000000" w:themeColor="text1"/>
        </w:rPr>
      </w:pPr>
      <w:r w:rsidRPr="00CB318D">
        <w:rPr>
          <w:color w:val="000000" w:themeColor="text1"/>
        </w:rPr>
        <w:br w:type="page"/>
      </w:r>
    </w:p>
    <w:p w14:paraId="472E9118" w14:textId="77777777" w:rsidR="00935D9A" w:rsidRPr="00CB318D" w:rsidRDefault="0054436F">
      <w:pPr>
        <w:pStyle w:val="Heading4"/>
        <w:rPr>
          <w:color w:val="000000" w:themeColor="text1"/>
        </w:rPr>
      </w:pPr>
      <w:bookmarkStart w:id="22" w:name="weibull"/>
      <w:bookmarkEnd w:id="19"/>
      <w:r w:rsidRPr="00CB318D">
        <w:rPr>
          <w:color w:val="000000" w:themeColor="text1"/>
        </w:rPr>
        <w:lastRenderedPageBreak/>
        <w:t>Weibull</w:t>
      </w:r>
    </w:p>
    <w:tbl>
      <w:tblPr>
        <w:tblStyle w:val="Table"/>
        <w:tblW w:w="5000" w:type="pct"/>
        <w:tblLayout w:type="fixed"/>
        <w:tblLook w:val="0020" w:firstRow="1" w:lastRow="0" w:firstColumn="0" w:lastColumn="0" w:noHBand="0" w:noVBand="0"/>
      </w:tblPr>
      <w:tblGrid>
        <w:gridCol w:w="9360"/>
      </w:tblGrid>
      <w:tr w:rsidR="00CB318D" w:rsidRPr="00CB318D" w14:paraId="0B90B2D9" w14:textId="77777777" w:rsidTr="00215699">
        <w:trPr>
          <w:cnfStyle w:val="100000000000" w:firstRow="1" w:lastRow="0" w:firstColumn="0" w:lastColumn="0" w:oddVBand="0" w:evenVBand="0" w:oddHBand="0" w:evenHBand="0" w:firstRowFirstColumn="0" w:firstRowLastColumn="0" w:lastRowFirstColumn="0" w:lastRowLastColumn="0"/>
        </w:trPr>
        <w:tc>
          <w:tcPr>
            <w:tcW w:w="7920" w:type="dxa"/>
          </w:tcPr>
          <w:p w14:paraId="60810DF3" w14:textId="00046A01" w:rsidR="00935D9A" w:rsidRPr="00CB318D" w:rsidRDefault="0054436F">
            <w:pPr>
              <w:pStyle w:val="ImageCaption"/>
              <w:spacing w:before="200"/>
              <w:rPr>
                <w:color w:val="000000" w:themeColor="text1"/>
              </w:rPr>
            </w:pPr>
            <w:bookmarkStart w:id="23" w:name="fig-km-weibull-ch1"/>
            <w:r w:rsidRPr="00CB318D">
              <w:rPr>
                <w:color w:val="000000" w:themeColor="text1"/>
              </w:rPr>
              <w:t>Figure </w:t>
            </w:r>
            <w:r w:rsidR="00291865" w:rsidRPr="00CB318D">
              <w:rPr>
                <w:color w:val="000000" w:themeColor="text1"/>
              </w:rPr>
              <w:t>5</w:t>
            </w:r>
            <w:r w:rsidRPr="00CB318D">
              <w:rPr>
                <w:color w:val="000000" w:themeColor="text1"/>
              </w:rPr>
              <w:t>: Overall survival against Weibull survival function</w:t>
            </w:r>
          </w:p>
          <w:p w14:paraId="52010103" w14:textId="77777777" w:rsidR="00935D9A" w:rsidRPr="00CB318D" w:rsidRDefault="0054436F">
            <w:pPr>
              <w:pStyle w:val="Compact"/>
              <w:jc w:val="center"/>
              <w:rPr>
                <w:color w:val="000000" w:themeColor="text1"/>
              </w:rPr>
            </w:pPr>
            <w:r w:rsidRPr="00CB318D">
              <w:rPr>
                <w:noProof/>
                <w:color w:val="000000" w:themeColor="text1"/>
              </w:rPr>
              <w:drawing>
                <wp:inline distT="0" distB="0" distL="0" distR="0" wp14:anchorId="1703BF7F" wp14:editId="05D61DB8">
                  <wp:extent cx="5943600" cy="3657600"/>
                  <wp:effectExtent l="0" t="0" r="0" b="0"/>
                  <wp:docPr id="54" name="Picture" title="A Kaplan-Meier plot showing overall survival over time for individuals who have received PLD or paclitaxel monotherapy, with an overlaid Weibull model fit."/>
                  <wp:cNvGraphicFramePr/>
                  <a:graphic xmlns:a="http://schemas.openxmlformats.org/drawingml/2006/main">
                    <a:graphicData uri="http://schemas.openxmlformats.org/drawingml/2006/picture">
                      <pic:pic xmlns:pic="http://schemas.openxmlformats.org/drawingml/2006/picture">
                        <pic:nvPicPr>
                          <pic:cNvPr id="55" name="Picture" descr="ID6442_MS_for_OFP_cancers_updated_death_rjw_files/figure-docx/fig-km-weibull-ch1-1.png"/>
                          <pic:cNvPicPr>
                            <a:picLocks noChangeAspect="1" noChangeArrowheads="1"/>
                          </pic:cNvPicPr>
                        </pic:nvPicPr>
                        <pic:blipFill>
                          <a:blip r:embed="rId14"/>
                          <a:stretch>
                            <a:fillRect/>
                          </a:stretch>
                        </pic:blipFill>
                        <pic:spPr bwMode="auto">
                          <a:xfrm>
                            <a:off x="0" y="0"/>
                            <a:ext cx="5943600" cy="3657600"/>
                          </a:xfrm>
                          <a:prstGeom prst="rect">
                            <a:avLst/>
                          </a:prstGeom>
                          <a:noFill/>
                          <a:ln w="9525">
                            <a:noFill/>
                            <a:headEnd/>
                            <a:tailEnd/>
                          </a:ln>
                        </pic:spPr>
                      </pic:pic>
                    </a:graphicData>
                  </a:graphic>
                </wp:inline>
              </w:drawing>
            </w:r>
          </w:p>
        </w:tc>
        <w:bookmarkEnd w:id="23"/>
      </w:tr>
    </w:tbl>
    <w:p w14:paraId="4929F1BE" w14:textId="77777777" w:rsidR="00935D9A" w:rsidRPr="00CB318D" w:rsidRDefault="00935D9A">
      <w:pPr>
        <w:pStyle w:val="BodyText"/>
        <w:rPr>
          <w:color w:val="000000" w:themeColor="text1"/>
        </w:rPr>
      </w:pPr>
    </w:p>
    <w:tbl>
      <w:tblPr>
        <w:tblW w:w="0" w:type="auto"/>
        <w:jc w:val="center"/>
        <w:tblCellMar>
          <w:left w:w="60" w:type="dxa"/>
          <w:right w:w="60" w:type="dxa"/>
        </w:tblCellMar>
        <w:tblLook w:val="0000" w:firstRow="0" w:lastRow="0" w:firstColumn="0" w:lastColumn="0" w:noHBand="0" w:noVBand="0"/>
      </w:tblPr>
      <w:tblGrid>
        <w:gridCol w:w="990"/>
        <w:gridCol w:w="831"/>
        <w:gridCol w:w="892"/>
        <w:gridCol w:w="1083"/>
        <w:gridCol w:w="1282"/>
      </w:tblGrid>
      <w:tr w:rsidR="00CB318D" w:rsidRPr="00CB318D" w14:paraId="6A87F1C7" w14:textId="77777777">
        <w:trPr>
          <w:cantSplit/>
          <w:tblHeader/>
          <w:jc w:val="center"/>
        </w:trPr>
        <w:tc>
          <w:tcPr>
            <w:tcW w:w="0" w:type="auto"/>
            <w:tcBorders>
              <w:top w:val="single" w:sz="16" w:space="0" w:color="D3D3D3"/>
              <w:left w:val="single" w:sz="0" w:space="0" w:color="D3D3D3"/>
              <w:bottom w:val="single" w:sz="16" w:space="0" w:color="D3D3D3"/>
            </w:tcBorders>
          </w:tcPr>
          <w:p w14:paraId="692BE7BA" w14:textId="77777777" w:rsidR="00935D9A" w:rsidRPr="00CB318D" w:rsidRDefault="0054436F">
            <w:pPr>
              <w:keepNext/>
              <w:spacing w:after="60"/>
              <w:rPr>
                <w:color w:val="000000" w:themeColor="text1"/>
              </w:rPr>
            </w:pPr>
            <w:r w:rsidRPr="00CB318D">
              <w:rPr>
                <w:rFonts w:ascii="Calibri" w:hAnsi="Calibri"/>
                <w:color w:val="000000" w:themeColor="text1"/>
                <w:sz w:val="20"/>
              </w:rPr>
              <w:t>Parameter</w:t>
            </w:r>
          </w:p>
        </w:tc>
        <w:tc>
          <w:tcPr>
            <w:tcW w:w="0" w:type="auto"/>
            <w:tcBorders>
              <w:top w:val="single" w:sz="16" w:space="0" w:color="D3D3D3"/>
              <w:bottom w:val="single" w:sz="16" w:space="0" w:color="D3D3D3"/>
            </w:tcBorders>
          </w:tcPr>
          <w:p w14:paraId="5465C560"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Estimate</w:t>
            </w:r>
          </w:p>
        </w:tc>
        <w:tc>
          <w:tcPr>
            <w:tcW w:w="0" w:type="auto"/>
            <w:tcBorders>
              <w:top w:val="single" w:sz="16" w:space="0" w:color="D3D3D3"/>
              <w:bottom w:val="single" w:sz="16" w:space="0" w:color="D3D3D3"/>
            </w:tcBorders>
          </w:tcPr>
          <w:p w14:paraId="5F51E8E9"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Std. Error</w:t>
            </w:r>
          </w:p>
        </w:tc>
        <w:tc>
          <w:tcPr>
            <w:tcW w:w="0" w:type="auto"/>
            <w:tcBorders>
              <w:top w:val="single" w:sz="16" w:space="0" w:color="D3D3D3"/>
              <w:bottom w:val="single" w:sz="16" w:space="0" w:color="D3D3D3"/>
            </w:tcBorders>
          </w:tcPr>
          <w:p w14:paraId="64612835"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z</w:t>
            </w:r>
          </w:p>
        </w:tc>
        <w:tc>
          <w:tcPr>
            <w:tcW w:w="0" w:type="auto"/>
            <w:tcBorders>
              <w:top w:val="single" w:sz="16" w:space="0" w:color="D3D3D3"/>
              <w:bottom w:val="single" w:sz="16" w:space="0" w:color="D3D3D3"/>
              <w:right w:val="single" w:sz="0" w:space="0" w:color="D3D3D3"/>
            </w:tcBorders>
          </w:tcPr>
          <w:p w14:paraId="7E5052DD"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p-value</w:t>
            </w:r>
          </w:p>
        </w:tc>
      </w:tr>
      <w:tr w:rsidR="00CB318D" w:rsidRPr="00CB318D" w14:paraId="51FB42EB"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7C53451E" w14:textId="77777777" w:rsidR="00935D9A" w:rsidRPr="00CB318D" w:rsidRDefault="0054436F">
            <w:pPr>
              <w:keepNext/>
              <w:spacing w:after="60"/>
              <w:rPr>
                <w:color w:val="000000" w:themeColor="text1"/>
              </w:rPr>
            </w:pPr>
            <w:r w:rsidRPr="00CB318D">
              <w:rPr>
                <w:rFonts w:ascii="Calibri" w:hAnsi="Calibri"/>
                <w:color w:val="000000" w:themeColor="text1"/>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218F8A55"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2.578</w:t>
            </w:r>
          </w:p>
        </w:tc>
        <w:tc>
          <w:tcPr>
            <w:tcW w:w="0" w:type="auto"/>
            <w:tcBorders>
              <w:top w:val="single" w:sz="0" w:space="0" w:color="D3D3D3"/>
              <w:left w:val="single" w:sz="0" w:space="0" w:color="D3D3D3"/>
              <w:bottom w:val="single" w:sz="0" w:space="0" w:color="D3D3D3"/>
              <w:right w:val="single" w:sz="0" w:space="0" w:color="D3D3D3"/>
            </w:tcBorders>
          </w:tcPr>
          <w:p w14:paraId="1ABAB13A"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0.012</w:t>
            </w:r>
          </w:p>
        </w:tc>
        <w:tc>
          <w:tcPr>
            <w:tcW w:w="0" w:type="auto"/>
            <w:tcBorders>
              <w:top w:val="single" w:sz="0" w:space="0" w:color="D3D3D3"/>
              <w:left w:val="single" w:sz="0" w:space="0" w:color="D3D3D3"/>
              <w:bottom w:val="single" w:sz="0" w:space="0" w:color="D3D3D3"/>
              <w:right w:val="single" w:sz="0" w:space="0" w:color="D3D3D3"/>
            </w:tcBorders>
          </w:tcPr>
          <w:p w14:paraId="072DC974"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211.980246</w:t>
            </w:r>
          </w:p>
        </w:tc>
        <w:tc>
          <w:tcPr>
            <w:tcW w:w="0" w:type="auto"/>
            <w:tcBorders>
              <w:top w:val="single" w:sz="0" w:space="0" w:color="D3D3D3"/>
              <w:left w:val="single" w:sz="0" w:space="0" w:color="D3D3D3"/>
              <w:bottom w:val="single" w:sz="0" w:space="0" w:color="D3D3D3"/>
              <w:right w:val="single" w:sz="0" w:space="0" w:color="D3D3D3"/>
            </w:tcBorders>
          </w:tcPr>
          <w:p w14:paraId="02961048"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0.000000e+00</w:t>
            </w:r>
          </w:p>
        </w:tc>
      </w:tr>
      <w:tr w:rsidR="00CB318D" w:rsidRPr="00CB318D" w14:paraId="7BE62D42"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F430405" w14:textId="77777777" w:rsidR="00935D9A" w:rsidRPr="00CB318D" w:rsidRDefault="0054436F">
            <w:pPr>
              <w:keepNext/>
              <w:spacing w:after="60"/>
              <w:rPr>
                <w:color w:val="000000" w:themeColor="text1"/>
              </w:rPr>
            </w:pPr>
            <w:r w:rsidRPr="00CB318D">
              <w:rPr>
                <w:rFonts w:ascii="Calibri" w:hAnsi="Calibri"/>
                <w:color w:val="000000" w:themeColor="text1"/>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38FE0BB5"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-0.052</w:t>
            </w:r>
          </w:p>
        </w:tc>
        <w:tc>
          <w:tcPr>
            <w:tcW w:w="0" w:type="auto"/>
            <w:tcBorders>
              <w:top w:val="single" w:sz="0" w:space="0" w:color="D3D3D3"/>
              <w:left w:val="single" w:sz="0" w:space="0" w:color="D3D3D3"/>
              <w:bottom w:val="single" w:sz="0" w:space="0" w:color="D3D3D3"/>
              <w:right w:val="single" w:sz="0" w:space="0" w:color="D3D3D3"/>
            </w:tcBorders>
          </w:tcPr>
          <w:p w14:paraId="0513FB12"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0.009</w:t>
            </w:r>
          </w:p>
        </w:tc>
        <w:tc>
          <w:tcPr>
            <w:tcW w:w="0" w:type="auto"/>
            <w:tcBorders>
              <w:top w:val="single" w:sz="0" w:space="0" w:color="D3D3D3"/>
              <w:left w:val="single" w:sz="0" w:space="0" w:color="D3D3D3"/>
              <w:bottom w:val="single" w:sz="0" w:space="0" w:color="D3D3D3"/>
              <w:right w:val="single" w:sz="0" w:space="0" w:color="D3D3D3"/>
            </w:tcBorders>
          </w:tcPr>
          <w:p w14:paraId="6A938C9F"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-5.597361</w:t>
            </w:r>
          </w:p>
        </w:tc>
        <w:tc>
          <w:tcPr>
            <w:tcW w:w="0" w:type="auto"/>
            <w:tcBorders>
              <w:top w:val="single" w:sz="0" w:space="0" w:color="D3D3D3"/>
              <w:left w:val="single" w:sz="0" w:space="0" w:color="D3D3D3"/>
              <w:bottom w:val="single" w:sz="0" w:space="0" w:color="D3D3D3"/>
              <w:right w:val="single" w:sz="0" w:space="0" w:color="D3D3D3"/>
            </w:tcBorders>
          </w:tcPr>
          <w:p w14:paraId="39869A9C"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2.176394e-08</w:t>
            </w:r>
          </w:p>
        </w:tc>
      </w:tr>
      <w:tr w:rsidR="00CB318D" w:rsidRPr="00CB318D" w14:paraId="1FE759A3" w14:textId="77777777">
        <w:trPr>
          <w:cantSplit/>
          <w:jc w:val="center"/>
        </w:trPr>
        <w:tc>
          <w:tcPr>
            <w:tcW w:w="0" w:type="auto"/>
            <w:gridSpan w:val="5"/>
          </w:tcPr>
          <w:p w14:paraId="48632DF8" w14:textId="77777777" w:rsidR="00935D9A" w:rsidRPr="00CB318D" w:rsidRDefault="0054436F">
            <w:pPr>
              <w:keepNext/>
              <w:spacing w:after="60"/>
              <w:rPr>
                <w:color w:val="000000" w:themeColor="text1"/>
              </w:rPr>
            </w:pPr>
            <w:r w:rsidRPr="00CB318D">
              <w:rPr>
                <w:rFonts w:ascii="Calibri" w:hAnsi="Calibri"/>
                <w:color w:val="000000" w:themeColor="text1"/>
                <w:sz w:val="20"/>
              </w:rPr>
              <w:t>log-likelihood = -23172.1665303428</w:t>
            </w:r>
          </w:p>
        </w:tc>
      </w:tr>
      <w:tr w:rsidR="00CB318D" w:rsidRPr="00CB318D" w14:paraId="3F4FC456" w14:textId="77777777">
        <w:trPr>
          <w:cantSplit/>
          <w:jc w:val="center"/>
        </w:trPr>
        <w:tc>
          <w:tcPr>
            <w:tcW w:w="0" w:type="auto"/>
            <w:gridSpan w:val="5"/>
          </w:tcPr>
          <w:p w14:paraId="09669431" w14:textId="77777777" w:rsidR="00935D9A" w:rsidRPr="00CB318D" w:rsidRDefault="0054436F">
            <w:pPr>
              <w:keepNext/>
              <w:spacing w:after="60"/>
              <w:rPr>
                <w:color w:val="000000" w:themeColor="text1"/>
              </w:rPr>
            </w:pPr>
            <w:r w:rsidRPr="00CB318D">
              <w:rPr>
                <w:rFonts w:ascii="Calibri" w:hAnsi="Calibri"/>
                <w:color w:val="000000" w:themeColor="text1"/>
                <w:sz w:val="20"/>
              </w:rPr>
              <w:t>AIC = 46348.3330606855</w:t>
            </w:r>
          </w:p>
        </w:tc>
      </w:tr>
      <w:tr w:rsidR="00CB318D" w:rsidRPr="00CB318D" w14:paraId="1C565296" w14:textId="77777777">
        <w:trPr>
          <w:cantSplit/>
          <w:jc w:val="center"/>
        </w:trPr>
        <w:tc>
          <w:tcPr>
            <w:tcW w:w="0" w:type="auto"/>
            <w:gridSpan w:val="5"/>
          </w:tcPr>
          <w:p w14:paraId="722BFB58" w14:textId="77777777" w:rsidR="00935D9A" w:rsidRPr="00CB318D" w:rsidRDefault="0054436F">
            <w:pPr>
              <w:keepNext/>
              <w:spacing w:after="60"/>
              <w:rPr>
                <w:color w:val="000000" w:themeColor="text1"/>
              </w:rPr>
            </w:pPr>
            <w:r w:rsidRPr="00CB318D">
              <w:rPr>
                <w:rFonts w:ascii="Calibri" w:hAnsi="Calibri"/>
                <w:color w:val="000000" w:themeColor="text1"/>
                <w:sz w:val="20"/>
              </w:rPr>
              <w:t>BIC = 46362.063966337</w:t>
            </w:r>
          </w:p>
        </w:tc>
      </w:tr>
    </w:tbl>
    <w:tbl>
      <w:tblPr>
        <w:tblStyle w:val="Table"/>
        <w:tblW w:w="5000" w:type="pct"/>
        <w:tblLayout w:type="fixed"/>
        <w:tblLook w:val="0000" w:firstRow="0" w:lastRow="0" w:firstColumn="0" w:lastColumn="0" w:noHBand="0" w:noVBand="0"/>
      </w:tblPr>
      <w:tblGrid>
        <w:gridCol w:w="9360"/>
      </w:tblGrid>
      <w:tr w:rsidR="00CB318D" w:rsidRPr="00CB318D" w14:paraId="66A34FD3" w14:textId="77777777">
        <w:tc>
          <w:tcPr>
            <w:tcW w:w="7920" w:type="dxa"/>
          </w:tcPr>
          <w:p w14:paraId="36AB0275" w14:textId="77777777" w:rsidR="00935D9A" w:rsidRPr="00CB318D" w:rsidRDefault="0054436F">
            <w:pPr>
              <w:pStyle w:val="ImageCaption"/>
              <w:spacing w:before="200"/>
              <w:rPr>
                <w:color w:val="000000" w:themeColor="text1"/>
              </w:rPr>
            </w:pPr>
            <w:bookmarkStart w:id="24" w:name="tbl-km-weibull-ch1"/>
            <w:r w:rsidRPr="00CB318D">
              <w:rPr>
                <w:color w:val="000000" w:themeColor="text1"/>
              </w:rPr>
              <w:t>Table 4: Survival model fit summary (Weibull distribution)</w:t>
            </w:r>
          </w:p>
          <w:bookmarkEnd w:id="24"/>
          <w:p w14:paraId="4861AFD5" w14:textId="77777777" w:rsidR="00935D9A" w:rsidRPr="00CB318D" w:rsidRDefault="00935D9A">
            <w:pPr>
              <w:rPr>
                <w:color w:val="000000" w:themeColor="text1"/>
              </w:rPr>
            </w:pPr>
          </w:p>
        </w:tc>
      </w:tr>
    </w:tbl>
    <w:p w14:paraId="223A3C81" w14:textId="77777777" w:rsidR="00935D9A" w:rsidRPr="00CB318D" w:rsidRDefault="0054436F">
      <w:pPr>
        <w:rPr>
          <w:color w:val="000000" w:themeColor="text1"/>
        </w:rPr>
      </w:pPr>
      <w:r w:rsidRPr="00CB318D">
        <w:rPr>
          <w:color w:val="000000" w:themeColor="text1"/>
        </w:rPr>
        <w:br w:type="page"/>
      </w:r>
    </w:p>
    <w:p w14:paraId="2F2FD517" w14:textId="77777777" w:rsidR="00935D9A" w:rsidRPr="00CB318D" w:rsidRDefault="0054436F">
      <w:pPr>
        <w:pStyle w:val="Heading4"/>
        <w:rPr>
          <w:color w:val="000000" w:themeColor="text1"/>
        </w:rPr>
      </w:pPr>
      <w:bookmarkStart w:id="25" w:name="log-normal"/>
      <w:bookmarkEnd w:id="22"/>
      <w:r w:rsidRPr="00CB318D">
        <w:rPr>
          <w:color w:val="000000" w:themeColor="text1"/>
        </w:rPr>
        <w:lastRenderedPageBreak/>
        <w:t>Log-normal</w:t>
      </w:r>
    </w:p>
    <w:tbl>
      <w:tblPr>
        <w:tblStyle w:val="Table"/>
        <w:tblW w:w="5000" w:type="pct"/>
        <w:tblLayout w:type="fixed"/>
        <w:tblLook w:val="0020" w:firstRow="1" w:lastRow="0" w:firstColumn="0" w:lastColumn="0" w:noHBand="0" w:noVBand="0"/>
      </w:tblPr>
      <w:tblGrid>
        <w:gridCol w:w="9360"/>
      </w:tblGrid>
      <w:tr w:rsidR="00CB318D" w:rsidRPr="00CB318D" w14:paraId="58B07B53" w14:textId="77777777" w:rsidTr="00215699">
        <w:trPr>
          <w:cnfStyle w:val="100000000000" w:firstRow="1" w:lastRow="0" w:firstColumn="0" w:lastColumn="0" w:oddVBand="0" w:evenVBand="0" w:oddHBand="0" w:evenHBand="0" w:firstRowFirstColumn="0" w:firstRowLastColumn="0" w:lastRowFirstColumn="0" w:lastRowLastColumn="0"/>
        </w:trPr>
        <w:tc>
          <w:tcPr>
            <w:tcW w:w="7920" w:type="dxa"/>
          </w:tcPr>
          <w:p w14:paraId="590E9DFC" w14:textId="33A18EF3" w:rsidR="00935D9A" w:rsidRPr="00CB318D" w:rsidRDefault="0054436F">
            <w:pPr>
              <w:pStyle w:val="ImageCaption"/>
              <w:spacing w:before="200"/>
              <w:rPr>
                <w:color w:val="000000" w:themeColor="text1"/>
              </w:rPr>
            </w:pPr>
            <w:bookmarkStart w:id="26" w:name="fig-km-log_normal-ch1"/>
            <w:r w:rsidRPr="00CB318D">
              <w:rPr>
                <w:color w:val="000000" w:themeColor="text1"/>
              </w:rPr>
              <w:t>Figure </w:t>
            </w:r>
            <w:r w:rsidR="00291865" w:rsidRPr="00CB318D">
              <w:rPr>
                <w:color w:val="000000" w:themeColor="text1"/>
              </w:rPr>
              <w:t>6</w:t>
            </w:r>
            <w:r w:rsidRPr="00CB318D">
              <w:rPr>
                <w:color w:val="000000" w:themeColor="text1"/>
              </w:rPr>
              <w:t>: Overall survival against log-normal survival function</w:t>
            </w:r>
          </w:p>
          <w:p w14:paraId="20CFA317" w14:textId="77777777" w:rsidR="00935D9A" w:rsidRPr="00CB318D" w:rsidRDefault="0054436F">
            <w:pPr>
              <w:pStyle w:val="Compact"/>
              <w:jc w:val="center"/>
              <w:rPr>
                <w:color w:val="000000" w:themeColor="text1"/>
              </w:rPr>
            </w:pPr>
            <w:r w:rsidRPr="00CB318D">
              <w:rPr>
                <w:noProof/>
                <w:color w:val="000000" w:themeColor="text1"/>
              </w:rPr>
              <w:drawing>
                <wp:inline distT="0" distB="0" distL="0" distR="0" wp14:anchorId="023EC043" wp14:editId="3C628875">
                  <wp:extent cx="5943600" cy="3657600"/>
                  <wp:effectExtent l="0" t="0" r="0" b="0"/>
                  <wp:docPr id="60" name="Picture" title="A Kaplan-Meier plot showing overall survival over time for individuals who have received PLD or paclitaxel monotherapy, with an overlaid log-normal model fit."/>
                  <wp:cNvGraphicFramePr/>
                  <a:graphic xmlns:a="http://schemas.openxmlformats.org/drawingml/2006/main">
                    <a:graphicData uri="http://schemas.openxmlformats.org/drawingml/2006/picture">
                      <pic:pic xmlns:pic="http://schemas.openxmlformats.org/drawingml/2006/picture">
                        <pic:nvPicPr>
                          <pic:cNvPr id="61" name="Picture" descr="ID6442_MS_for_OFP_cancers_updated_death_rjw_files/figure-docx/fig-km-log_normal-ch1-1.png"/>
                          <pic:cNvPicPr>
                            <a:picLocks noChangeAspect="1" noChangeArrowheads="1"/>
                          </pic:cNvPicPr>
                        </pic:nvPicPr>
                        <pic:blipFill>
                          <a:blip r:embed="rId15"/>
                          <a:stretch>
                            <a:fillRect/>
                          </a:stretch>
                        </pic:blipFill>
                        <pic:spPr bwMode="auto">
                          <a:xfrm>
                            <a:off x="0" y="0"/>
                            <a:ext cx="5943600" cy="3657600"/>
                          </a:xfrm>
                          <a:prstGeom prst="rect">
                            <a:avLst/>
                          </a:prstGeom>
                          <a:noFill/>
                          <a:ln w="9525">
                            <a:noFill/>
                            <a:headEnd/>
                            <a:tailEnd/>
                          </a:ln>
                        </pic:spPr>
                      </pic:pic>
                    </a:graphicData>
                  </a:graphic>
                </wp:inline>
              </w:drawing>
            </w:r>
          </w:p>
        </w:tc>
        <w:bookmarkEnd w:id="26"/>
      </w:tr>
    </w:tbl>
    <w:p w14:paraId="0578146B" w14:textId="77777777" w:rsidR="00935D9A" w:rsidRPr="00CB318D" w:rsidRDefault="00935D9A">
      <w:pPr>
        <w:pStyle w:val="BodyText"/>
        <w:rPr>
          <w:color w:val="000000" w:themeColor="text1"/>
        </w:rPr>
      </w:pPr>
    </w:p>
    <w:tbl>
      <w:tblPr>
        <w:tblW w:w="0" w:type="auto"/>
        <w:jc w:val="center"/>
        <w:tblCellMar>
          <w:left w:w="60" w:type="dxa"/>
          <w:right w:w="60" w:type="dxa"/>
        </w:tblCellMar>
        <w:tblLook w:val="0000" w:firstRow="0" w:lastRow="0" w:firstColumn="0" w:lastColumn="0" w:noHBand="0" w:noVBand="0"/>
      </w:tblPr>
      <w:tblGrid>
        <w:gridCol w:w="990"/>
        <w:gridCol w:w="831"/>
        <w:gridCol w:w="892"/>
        <w:gridCol w:w="1083"/>
        <w:gridCol w:w="1282"/>
      </w:tblGrid>
      <w:tr w:rsidR="00CB318D" w:rsidRPr="00CB318D" w14:paraId="6A797194" w14:textId="77777777">
        <w:trPr>
          <w:cantSplit/>
          <w:tblHeader/>
          <w:jc w:val="center"/>
        </w:trPr>
        <w:tc>
          <w:tcPr>
            <w:tcW w:w="0" w:type="auto"/>
            <w:tcBorders>
              <w:top w:val="single" w:sz="16" w:space="0" w:color="D3D3D3"/>
              <w:left w:val="single" w:sz="0" w:space="0" w:color="D3D3D3"/>
              <w:bottom w:val="single" w:sz="16" w:space="0" w:color="D3D3D3"/>
            </w:tcBorders>
          </w:tcPr>
          <w:p w14:paraId="6AB40A9C" w14:textId="77777777" w:rsidR="00935D9A" w:rsidRPr="00CB318D" w:rsidRDefault="0054436F">
            <w:pPr>
              <w:keepNext/>
              <w:spacing w:after="60"/>
              <w:rPr>
                <w:color w:val="000000" w:themeColor="text1"/>
              </w:rPr>
            </w:pPr>
            <w:r w:rsidRPr="00CB318D">
              <w:rPr>
                <w:rFonts w:ascii="Calibri" w:hAnsi="Calibri"/>
                <w:color w:val="000000" w:themeColor="text1"/>
                <w:sz w:val="20"/>
              </w:rPr>
              <w:t>Parameter</w:t>
            </w:r>
          </w:p>
        </w:tc>
        <w:tc>
          <w:tcPr>
            <w:tcW w:w="0" w:type="auto"/>
            <w:tcBorders>
              <w:top w:val="single" w:sz="16" w:space="0" w:color="D3D3D3"/>
              <w:bottom w:val="single" w:sz="16" w:space="0" w:color="D3D3D3"/>
            </w:tcBorders>
          </w:tcPr>
          <w:p w14:paraId="1807F64A"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Estimate</w:t>
            </w:r>
          </w:p>
        </w:tc>
        <w:tc>
          <w:tcPr>
            <w:tcW w:w="0" w:type="auto"/>
            <w:tcBorders>
              <w:top w:val="single" w:sz="16" w:space="0" w:color="D3D3D3"/>
              <w:bottom w:val="single" w:sz="16" w:space="0" w:color="D3D3D3"/>
            </w:tcBorders>
          </w:tcPr>
          <w:p w14:paraId="048032C7"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Std. Error</w:t>
            </w:r>
          </w:p>
        </w:tc>
        <w:tc>
          <w:tcPr>
            <w:tcW w:w="0" w:type="auto"/>
            <w:tcBorders>
              <w:top w:val="single" w:sz="16" w:space="0" w:color="D3D3D3"/>
              <w:bottom w:val="single" w:sz="16" w:space="0" w:color="D3D3D3"/>
            </w:tcBorders>
          </w:tcPr>
          <w:p w14:paraId="4528B11E"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z</w:t>
            </w:r>
          </w:p>
        </w:tc>
        <w:tc>
          <w:tcPr>
            <w:tcW w:w="0" w:type="auto"/>
            <w:tcBorders>
              <w:top w:val="single" w:sz="16" w:space="0" w:color="D3D3D3"/>
              <w:bottom w:val="single" w:sz="16" w:space="0" w:color="D3D3D3"/>
              <w:right w:val="single" w:sz="0" w:space="0" w:color="D3D3D3"/>
            </w:tcBorders>
          </w:tcPr>
          <w:p w14:paraId="451FA7E9"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p-value</w:t>
            </w:r>
          </w:p>
        </w:tc>
      </w:tr>
      <w:tr w:rsidR="00CB318D" w:rsidRPr="00CB318D" w14:paraId="6DF4AFD4"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50073619" w14:textId="77777777" w:rsidR="00935D9A" w:rsidRPr="00CB318D" w:rsidRDefault="0054436F">
            <w:pPr>
              <w:keepNext/>
              <w:spacing w:after="60"/>
              <w:rPr>
                <w:color w:val="000000" w:themeColor="text1"/>
              </w:rPr>
            </w:pPr>
            <w:r w:rsidRPr="00CB318D">
              <w:rPr>
                <w:rFonts w:ascii="Calibri" w:hAnsi="Calibri"/>
                <w:color w:val="000000" w:themeColor="text1"/>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3FB3362C"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2.093</w:t>
            </w:r>
          </w:p>
        </w:tc>
        <w:tc>
          <w:tcPr>
            <w:tcW w:w="0" w:type="auto"/>
            <w:tcBorders>
              <w:top w:val="single" w:sz="0" w:space="0" w:color="D3D3D3"/>
              <w:left w:val="single" w:sz="0" w:space="0" w:color="D3D3D3"/>
              <w:bottom w:val="single" w:sz="0" w:space="0" w:color="D3D3D3"/>
              <w:right w:val="single" w:sz="0" w:space="0" w:color="D3D3D3"/>
            </w:tcBorders>
          </w:tcPr>
          <w:p w14:paraId="59320EB3"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0.013</w:t>
            </w:r>
          </w:p>
        </w:tc>
        <w:tc>
          <w:tcPr>
            <w:tcW w:w="0" w:type="auto"/>
            <w:tcBorders>
              <w:top w:val="single" w:sz="0" w:space="0" w:color="D3D3D3"/>
              <w:left w:val="single" w:sz="0" w:space="0" w:color="D3D3D3"/>
              <w:bottom w:val="single" w:sz="0" w:space="0" w:color="D3D3D3"/>
              <w:right w:val="single" w:sz="0" w:space="0" w:color="D3D3D3"/>
            </w:tcBorders>
          </w:tcPr>
          <w:p w14:paraId="706AC543"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166.078903</w:t>
            </w:r>
          </w:p>
        </w:tc>
        <w:tc>
          <w:tcPr>
            <w:tcW w:w="0" w:type="auto"/>
            <w:tcBorders>
              <w:top w:val="single" w:sz="0" w:space="0" w:color="D3D3D3"/>
              <w:left w:val="single" w:sz="0" w:space="0" w:color="D3D3D3"/>
              <w:bottom w:val="single" w:sz="0" w:space="0" w:color="D3D3D3"/>
              <w:right w:val="single" w:sz="0" w:space="0" w:color="D3D3D3"/>
            </w:tcBorders>
          </w:tcPr>
          <w:p w14:paraId="4B1E8C2E"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0.000000e+00</w:t>
            </w:r>
          </w:p>
        </w:tc>
      </w:tr>
      <w:tr w:rsidR="00CB318D" w:rsidRPr="00CB318D" w14:paraId="65D08A9E"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5F0A402A" w14:textId="77777777" w:rsidR="00935D9A" w:rsidRPr="00CB318D" w:rsidRDefault="0054436F">
            <w:pPr>
              <w:keepNext/>
              <w:spacing w:after="60"/>
              <w:rPr>
                <w:color w:val="000000" w:themeColor="text1"/>
              </w:rPr>
            </w:pPr>
            <w:r w:rsidRPr="00CB318D">
              <w:rPr>
                <w:rFonts w:ascii="Calibri" w:hAnsi="Calibri"/>
                <w:color w:val="000000" w:themeColor="text1"/>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274C77AE"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0.048</w:t>
            </w:r>
          </w:p>
        </w:tc>
        <w:tc>
          <w:tcPr>
            <w:tcW w:w="0" w:type="auto"/>
            <w:tcBorders>
              <w:top w:val="single" w:sz="0" w:space="0" w:color="D3D3D3"/>
              <w:left w:val="single" w:sz="0" w:space="0" w:color="D3D3D3"/>
              <w:bottom w:val="single" w:sz="0" w:space="0" w:color="D3D3D3"/>
              <w:right w:val="single" w:sz="0" w:space="0" w:color="D3D3D3"/>
            </w:tcBorders>
          </w:tcPr>
          <w:p w14:paraId="3B9821AF"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0.009</w:t>
            </w:r>
          </w:p>
        </w:tc>
        <w:tc>
          <w:tcPr>
            <w:tcW w:w="0" w:type="auto"/>
            <w:tcBorders>
              <w:top w:val="single" w:sz="0" w:space="0" w:color="D3D3D3"/>
              <w:left w:val="single" w:sz="0" w:space="0" w:color="D3D3D3"/>
              <w:bottom w:val="single" w:sz="0" w:space="0" w:color="D3D3D3"/>
              <w:right w:val="single" w:sz="0" w:space="0" w:color="D3D3D3"/>
            </w:tcBorders>
          </w:tcPr>
          <w:p w14:paraId="5650F763"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5.420214</w:t>
            </w:r>
          </w:p>
        </w:tc>
        <w:tc>
          <w:tcPr>
            <w:tcW w:w="0" w:type="auto"/>
            <w:tcBorders>
              <w:top w:val="single" w:sz="0" w:space="0" w:color="D3D3D3"/>
              <w:left w:val="single" w:sz="0" w:space="0" w:color="D3D3D3"/>
              <w:bottom w:val="single" w:sz="0" w:space="0" w:color="D3D3D3"/>
              <w:right w:val="single" w:sz="0" w:space="0" w:color="D3D3D3"/>
            </w:tcBorders>
          </w:tcPr>
          <w:p w14:paraId="7B2F6F5F"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5.952776e-08</w:t>
            </w:r>
          </w:p>
        </w:tc>
      </w:tr>
      <w:tr w:rsidR="00CB318D" w:rsidRPr="00CB318D" w14:paraId="42873DDD" w14:textId="77777777">
        <w:trPr>
          <w:cantSplit/>
          <w:jc w:val="center"/>
        </w:trPr>
        <w:tc>
          <w:tcPr>
            <w:tcW w:w="0" w:type="auto"/>
            <w:gridSpan w:val="5"/>
          </w:tcPr>
          <w:p w14:paraId="0C62BA06" w14:textId="77777777" w:rsidR="00935D9A" w:rsidRPr="00CB318D" w:rsidRDefault="0054436F">
            <w:pPr>
              <w:keepNext/>
              <w:spacing w:after="60"/>
              <w:rPr>
                <w:color w:val="000000" w:themeColor="text1"/>
              </w:rPr>
            </w:pPr>
            <w:r w:rsidRPr="00CB318D">
              <w:rPr>
                <w:rFonts w:ascii="Calibri" w:hAnsi="Calibri"/>
                <w:color w:val="000000" w:themeColor="text1"/>
                <w:sz w:val="20"/>
              </w:rPr>
              <w:t>log-likelihood = -22894.935132085</w:t>
            </w:r>
          </w:p>
        </w:tc>
      </w:tr>
      <w:tr w:rsidR="00CB318D" w:rsidRPr="00CB318D" w14:paraId="645F5F36" w14:textId="77777777">
        <w:trPr>
          <w:cantSplit/>
          <w:jc w:val="center"/>
        </w:trPr>
        <w:tc>
          <w:tcPr>
            <w:tcW w:w="0" w:type="auto"/>
            <w:gridSpan w:val="5"/>
          </w:tcPr>
          <w:p w14:paraId="595D1E47" w14:textId="77777777" w:rsidR="00935D9A" w:rsidRPr="00CB318D" w:rsidRDefault="0054436F">
            <w:pPr>
              <w:keepNext/>
              <w:spacing w:after="60"/>
              <w:rPr>
                <w:color w:val="000000" w:themeColor="text1"/>
              </w:rPr>
            </w:pPr>
            <w:r w:rsidRPr="00CB318D">
              <w:rPr>
                <w:rFonts w:ascii="Calibri" w:hAnsi="Calibri"/>
                <w:color w:val="000000" w:themeColor="text1"/>
                <w:sz w:val="20"/>
              </w:rPr>
              <w:t>AIC = 45793.8702641699</w:t>
            </w:r>
          </w:p>
        </w:tc>
      </w:tr>
      <w:tr w:rsidR="00CB318D" w:rsidRPr="00CB318D" w14:paraId="26EBF986" w14:textId="77777777">
        <w:trPr>
          <w:cantSplit/>
          <w:jc w:val="center"/>
        </w:trPr>
        <w:tc>
          <w:tcPr>
            <w:tcW w:w="0" w:type="auto"/>
            <w:gridSpan w:val="5"/>
          </w:tcPr>
          <w:p w14:paraId="39D47728" w14:textId="77777777" w:rsidR="00935D9A" w:rsidRPr="00CB318D" w:rsidRDefault="0054436F">
            <w:pPr>
              <w:keepNext/>
              <w:spacing w:after="60"/>
              <w:rPr>
                <w:color w:val="000000" w:themeColor="text1"/>
              </w:rPr>
            </w:pPr>
            <w:r w:rsidRPr="00CB318D">
              <w:rPr>
                <w:rFonts w:ascii="Calibri" w:hAnsi="Calibri"/>
                <w:color w:val="000000" w:themeColor="text1"/>
                <w:sz w:val="20"/>
              </w:rPr>
              <w:t>BIC = 45807.6011698215</w:t>
            </w:r>
          </w:p>
        </w:tc>
      </w:tr>
    </w:tbl>
    <w:tbl>
      <w:tblPr>
        <w:tblStyle w:val="Table"/>
        <w:tblW w:w="5000" w:type="pct"/>
        <w:tblLayout w:type="fixed"/>
        <w:tblLook w:val="0000" w:firstRow="0" w:lastRow="0" w:firstColumn="0" w:lastColumn="0" w:noHBand="0" w:noVBand="0"/>
      </w:tblPr>
      <w:tblGrid>
        <w:gridCol w:w="9360"/>
      </w:tblGrid>
      <w:tr w:rsidR="00CB318D" w:rsidRPr="00CB318D" w14:paraId="7BE57D3B" w14:textId="77777777">
        <w:tc>
          <w:tcPr>
            <w:tcW w:w="7920" w:type="dxa"/>
          </w:tcPr>
          <w:p w14:paraId="45D041CD" w14:textId="77777777" w:rsidR="00935D9A" w:rsidRPr="00CB318D" w:rsidRDefault="0054436F">
            <w:pPr>
              <w:pStyle w:val="ImageCaption"/>
              <w:spacing w:before="200"/>
              <w:rPr>
                <w:color w:val="000000" w:themeColor="text1"/>
              </w:rPr>
            </w:pPr>
            <w:bookmarkStart w:id="27" w:name="tbl-km-log_normal-ch1"/>
            <w:r w:rsidRPr="00CB318D">
              <w:rPr>
                <w:color w:val="000000" w:themeColor="text1"/>
              </w:rPr>
              <w:t>Table 5: Survival model fit summary (log-normal distribution)</w:t>
            </w:r>
          </w:p>
          <w:bookmarkEnd w:id="27"/>
          <w:p w14:paraId="777919F3" w14:textId="77777777" w:rsidR="00935D9A" w:rsidRPr="00CB318D" w:rsidRDefault="00935D9A">
            <w:pPr>
              <w:rPr>
                <w:color w:val="000000" w:themeColor="text1"/>
              </w:rPr>
            </w:pPr>
          </w:p>
        </w:tc>
      </w:tr>
    </w:tbl>
    <w:p w14:paraId="2E0232DA" w14:textId="77777777" w:rsidR="00935D9A" w:rsidRPr="00CB318D" w:rsidRDefault="0054436F">
      <w:pPr>
        <w:rPr>
          <w:color w:val="000000" w:themeColor="text1"/>
        </w:rPr>
      </w:pPr>
      <w:r w:rsidRPr="00CB318D">
        <w:rPr>
          <w:color w:val="000000" w:themeColor="text1"/>
        </w:rPr>
        <w:br w:type="page"/>
      </w:r>
    </w:p>
    <w:p w14:paraId="256596C2" w14:textId="77777777" w:rsidR="00935D9A" w:rsidRPr="00CB318D" w:rsidRDefault="0054436F">
      <w:pPr>
        <w:pStyle w:val="Heading4"/>
        <w:rPr>
          <w:color w:val="000000" w:themeColor="text1"/>
        </w:rPr>
      </w:pPr>
      <w:bookmarkStart w:id="28" w:name="log-logistic"/>
      <w:bookmarkEnd w:id="25"/>
      <w:r w:rsidRPr="00CB318D">
        <w:rPr>
          <w:color w:val="000000" w:themeColor="text1"/>
        </w:rPr>
        <w:lastRenderedPageBreak/>
        <w:t>Log-logistic</w:t>
      </w:r>
    </w:p>
    <w:tbl>
      <w:tblPr>
        <w:tblStyle w:val="Table"/>
        <w:tblW w:w="5000" w:type="pct"/>
        <w:tblLayout w:type="fixed"/>
        <w:tblLook w:val="0020" w:firstRow="1" w:lastRow="0" w:firstColumn="0" w:lastColumn="0" w:noHBand="0" w:noVBand="0"/>
      </w:tblPr>
      <w:tblGrid>
        <w:gridCol w:w="9360"/>
      </w:tblGrid>
      <w:tr w:rsidR="00CB318D" w:rsidRPr="00CB318D" w14:paraId="05BE2D15" w14:textId="77777777" w:rsidTr="00215699">
        <w:trPr>
          <w:cnfStyle w:val="100000000000" w:firstRow="1" w:lastRow="0" w:firstColumn="0" w:lastColumn="0" w:oddVBand="0" w:evenVBand="0" w:oddHBand="0" w:evenHBand="0" w:firstRowFirstColumn="0" w:firstRowLastColumn="0" w:lastRowFirstColumn="0" w:lastRowLastColumn="0"/>
        </w:trPr>
        <w:tc>
          <w:tcPr>
            <w:tcW w:w="7920" w:type="dxa"/>
          </w:tcPr>
          <w:p w14:paraId="455567D8" w14:textId="0ECE964A" w:rsidR="00935D9A" w:rsidRPr="00CB318D" w:rsidRDefault="0054436F">
            <w:pPr>
              <w:pStyle w:val="ImageCaption"/>
              <w:spacing w:before="200"/>
              <w:rPr>
                <w:color w:val="000000" w:themeColor="text1"/>
              </w:rPr>
            </w:pPr>
            <w:bookmarkStart w:id="29" w:name="fig-km-log_logistic-ch1"/>
            <w:r w:rsidRPr="00CB318D">
              <w:rPr>
                <w:color w:val="000000" w:themeColor="text1"/>
              </w:rPr>
              <w:t>Figure </w:t>
            </w:r>
            <w:r w:rsidR="00291865" w:rsidRPr="00CB318D">
              <w:rPr>
                <w:color w:val="000000" w:themeColor="text1"/>
              </w:rPr>
              <w:t>7</w:t>
            </w:r>
            <w:r w:rsidRPr="00CB318D">
              <w:rPr>
                <w:color w:val="000000" w:themeColor="text1"/>
              </w:rPr>
              <w:t>: Overall survival against log-logistic survival function</w:t>
            </w:r>
          </w:p>
          <w:p w14:paraId="787D9B5D" w14:textId="77777777" w:rsidR="00935D9A" w:rsidRPr="00CB318D" w:rsidRDefault="0054436F">
            <w:pPr>
              <w:pStyle w:val="Compact"/>
              <w:jc w:val="center"/>
              <w:rPr>
                <w:color w:val="000000" w:themeColor="text1"/>
              </w:rPr>
            </w:pPr>
            <w:r w:rsidRPr="00CB318D">
              <w:rPr>
                <w:noProof/>
                <w:color w:val="000000" w:themeColor="text1"/>
              </w:rPr>
              <w:drawing>
                <wp:inline distT="0" distB="0" distL="0" distR="0" wp14:anchorId="2B19BA3D" wp14:editId="150A7674">
                  <wp:extent cx="5943600" cy="3657600"/>
                  <wp:effectExtent l="0" t="0" r="0" b="0"/>
                  <wp:docPr id="66" name="Picture" title="A Kaplan-Meier plot showing overall survival over time for individuals who have received PLD or paclitaxel monotherapy, with an overlaid log-logistic model fit."/>
                  <wp:cNvGraphicFramePr/>
                  <a:graphic xmlns:a="http://schemas.openxmlformats.org/drawingml/2006/main">
                    <a:graphicData uri="http://schemas.openxmlformats.org/drawingml/2006/picture">
                      <pic:pic xmlns:pic="http://schemas.openxmlformats.org/drawingml/2006/picture">
                        <pic:nvPicPr>
                          <pic:cNvPr id="67" name="Picture" descr="ID6442_MS_for_OFP_cancers_updated_death_rjw_files/figure-docx/fig-km-log_logistic-ch1-1.png"/>
                          <pic:cNvPicPr>
                            <a:picLocks noChangeAspect="1" noChangeArrowheads="1"/>
                          </pic:cNvPicPr>
                        </pic:nvPicPr>
                        <pic:blipFill>
                          <a:blip r:embed="rId16"/>
                          <a:stretch>
                            <a:fillRect/>
                          </a:stretch>
                        </pic:blipFill>
                        <pic:spPr bwMode="auto">
                          <a:xfrm>
                            <a:off x="0" y="0"/>
                            <a:ext cx="5943600" cy="3657600"/>
                          </a:xfrm>
                          <a:prstGeom prst="rect">
                            <a:avLst/>
                          </a:prstGeom>
                          <a:noFill/>
                          <a:ln w="9525">
                            <a:noFill/>
                            <a:headEnd/>
                            <a:tailEnd/>
                          </a:ln>
                        </pic:spPr>
                      </pic:pic>
                    </a:graphicData>
                  </a:graphic>
                </wp:inline>
              </w:drawing>
            </w:r>
          </w:p>
        </w:tc>
        <w:bookmarkEnd w:id="29"/>
      </w:tr>
    </w:tbl>
    <w:p w14:paraId="6BD4407D" w14:textId="77777777" w:rsidR="00935D9A" w:rsidRPr="00CB318D" w:rsidRDefault="00935D9A">
      <w:pPr>
        <w:pStyle w:val="BodyText"/>
        <w:rPr>
          <w:color w:val="000000" w:themeColor="text1"/>
        </w:rPr>
      </w:pPr>
    </w:p>
    <w:tbl>
      <w:tblPr>
        <w:tblW w:w="0" w:type="auto"/>
        <w:jc w:val="center"/>
        <w:tblCellMar>
          <w:left w:w="60" w:type="dxa"/>
          <w:right w:w="60" w:type="dxa"/>
        </w:tblCellMar>
        <w:tblLook w:val="0000" w:firstRow="0" w:lastRow="0" w:firstColumn="0" w:lastColumn="0" w:noHBand="0" w:noVBand="0"/>
      </w:tblPr>
      <w:tblGrid>
        <w:gridCol w:w="990"/>
        <w:gridCol w:w="831"/>
        <w:gridCol w:w="892"/>
        <w:gridCol w:w="982"/>
        <w:gridCol w:w="723"/>
      </w:tblGrid>
      <w:tr w:rsidR="00CB318D" w:rsidRPr="00CB318D" w14:paraId="051AA948" w14:textId="77777777">
        <w:trPr>
          <w:cantSplit/>
          <w:tblHeader/>
          <w:jc w:val="center"/>
        </w:trPr>
        <w:tc>
          <w:tcPr>
            <w:tcW w:w="0" w:type="auto"/>
            <w:tcBorders>
              <w:top w:val="single" w:sz="16" w:space="0" w:color="D3D3D3"/>
              <w:left w:val="single" w:sz="0" w:space="0" w:color="D3D3D3"/>
              <w:bottom w:val="single" w:sz="16" w:space="0" w:color="D3D3D3"/>
            </w:tcBorders>
          </w:tcPr>
          <w:p w14:paraId="48BAEEA6" w14:textId="77777777" w:rsidR="00935D9A" w:rsidRPr="00CB318D" w:rsidRDefault="0054436F">
            <w:pPr>
              <w:keepNext/>
              <w:spacing w:after="60"/>
              <w:rPr>
                <w:color w:val="000000" w:themeColor="text1"/>
              </w:rPr>
            </w:pPr>
            <w:r w:rsidRPr="00CB318D">
              <w:rPr>
                <w:rFonts w:ascii="Calibri" w:hAnsi="Calibri"/>
                <w:color w:val="000000" w:themeColor="text1"/>
                <w:sz w:val="20"/>
              </w:rPr>
              <w:t>Parameter</w:t>
            </w:r>
          </w:p>
        </w:tc>
        <w:tc>
          <w:tcPr>
            <w:tcW w:w="0" w:type="auto"/>
            <w:tcBorders>
              <w:top w:val="single" w:sz="16" w:space="0" w:color="D3D3D3"/>
              <w:bottom w:val="single" w:sz="16" w:space="0" w:color="D3D3D3"/>
            </w:tcBorders>
          </w:tcPr>
          <w:p w14:paraId="46623E3B"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Estimate</w:t>
            </w:r>
          </w:p>
        </w:tc>
        <w:tc>
          <w:tcPr>
            <w:tcW w:w="0" w:type="auto"/>
            <w:tcBorders>
              <w:top w:val="single" w:sz="16" w:space="0" w:color="D3D3D3"/>
              <w:bottom w:val="single" w:sz="16" w:space="0" w:color="D3D3D3"/>
            </w:tcBorders>
          </w:tcPr>
          <w:p w14:paraId="41FA34CD"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Std. Error</w:t>
            </w:r>
          </w:p>
        </w:tc>
        <w:tc>
          <w:tcPr>
            <w:tcW w:w="0" w:type="auto"/>
            <w:tcBorders>
              <w:top w:val="single" w:sz="16" w:space="0" w:color="D3D3D3"/>
              <w:bottom w:val="single" w:sz="16" w:space="0" w:color="D3D3D3"/>
            </w:tcBorders>
          </w:tcPr>
          <w:p w14:paraId="36C86E5F"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z</w:t>
            </w:r>
          </w:p>
        </w:tc>
        <w:tc>
          <w:tcPr>
            <w:tcW w:w="0" w:type="auto"/>
            <w:tcBorders>
              <w:top w:val="single" w:sz="16" w:space="0" w:color="D3D3D3"/>
              <w:bottom w:val="single" w:sz="16" w:space="0" w:color="D3D3D3"/>
              <w:right w:val="single" w:sz="0" w:space="0" w:color="D3D3D3"/>
            </w:tcBorders>
          </w:tcPr>
          <w:p w14:paraId="423EFA71"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p-value</w:t>
            </w:r>
          </w:p>
        </w:tc>
      </w:tr>
      <w:tr w:rsidR="00CB318D" w:rsidRPr="00CB318D" w14:paraId="4495D65F"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6ADCD5AB" w14:textId="77777777" w:rsidR="00935D9A" w:rsidRPr="00CB318D" w:rsidRDefault="0054436F">
            <w:pPr>
              <w:keepNext/>
              <w:spacing w:after="60"/>
              <w:rPr>
                <w:color w:val="000000" w:themeColor="text1"/>
              </w:rPr>
            </w:pPr>
            <w:r w:rsidRPr="00CB318D">
              <w:rPr>
                <w:rFonts w:ascii="Calibri" w:hAnsi="Calibri"/>
                <w:color w:val="000000" w:themeColor="text1"/>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34FDE8E6"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2.116</w:t>
            </w:r>
          </w:p>
        </w:tc>
        <w:tc>
          <w:tcPr>
            <w:tcW w:w="0" w:type="auto"/>
            <w:tcBorders>
              <w:top w:val="single" w:sz="0" w:space="0" w:color="D3D3D3"/>
              <w:left w:val="single" w:sz="0" w:space="0" w:color="D3D3D3"/>
              <w:bottom w:val="single" w:sz="0" w:space="0" w:color="D3D3D3"/>
              <w:right w:val="single" w:sz="0" w:space="0" w:color="D3D3D3"/>
            </w:tcBorders>
          </w:tcPr>
          <w:p w14:paraId="0BDC8910"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0.012</w:t>
            </w:r>
          </w:p>
        </w:tc>
        <w:tc>
          <w:tcPr>
            <w:tcW w:w="0" w:type="auto"/>
            <w:tcBorders>
              <w:top w:val="single" w:sz="0" w:space="0" w:color="D3D3D3"/>
              <w:left w:val="single" w:sz="0" w:space="0" w:color="D3D3D3"/>
              <w:bottom w:val="single" w:sz="0" w:space="0" w:color="D3D3D3"/>
              <w:right w:val="single" w:sz="0" w:space="0" w:color="D3D3D3"/>
            </w:tcBorders>
          </w:tcPr>
          <w:p w14:paraId="2682E58F"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172.33498</w:t>
            </w:r>
          </w:p>
        </w:tc>
        <w:tc>
          <w:tcPr>
            <w:tcW w:w="0" w:type="auto"/>
            <w:tcBorders>
              <w:top w:val="single" w:sz="0" w:space="0" w:color="D3D3D3"/>
              <w:left w:val="single" w:sz="0" w:space="0" w:color="D3D3D3"/>
              <w:bottom w:val="single" w:sz="0" w:space="0" w:color="D3D3D3"/>
              <w:right w:val="single" w:sz="0" w:space="0" w:color="D3D3D3"/>
            </w:tcBorders>
          </w:tcPr>
          <w:p w14:paraId="06AD6204"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w:t>
            </w:r>
          </w:p>
        </w:tc>
      </w:tr>
      <w:tr w:rsidR="00CB318D" w:rsidRPr="00CB318D" w14:paraId="0AD9D319"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434DC6B7" w14:textId="77777777" w:rsidR="00935D9A" w:rsidRPr="00CB318D" w:rsidRDefault="0054436F">
            <w:pPr>
              <w:keepNext/>
              <w:spacing w:after="60"/>
              <w:rPr>
                <w:color w:val="000000" w:themeColor="text1"/>
              </w:rPr>
            </w:pPr>
            <w:r w:rsidRPr="00CB318D">
              <w:rPr>
                <w:rFonts w:ascii="Calibri" w:hAnsi="Calibri"/>
                <w:color w:val="000000" w:themeColor="text1"/>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19CD29E8"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-0.522</w:t>
            </w:r>
          </w:p>
        </w:tc>
        <w:tc>
          <w:tcPr>
            <w:tcW w:w="0" w:type="auto"/>
            <w:tcBorders>
              <w:top w:val="single" w:sz="0" w:space="0" w:color="D3D3D3"/>
              <w:left w:val="single" w:sz="0" w:space="0" w:color="D3D3D3"/>
              <w:bottom w:val="single" w:sz="0" w:space="0" w:color="D3D3D3"/>
              <w:right w:val="single" w:sz="0" w:space="0" w:color="D3D3D3"/>
            </w:tcBorders>
          </w:tcPr>
          <w:p w14:paraId="6ECD716F"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0.010</w:t>
            </w:r>
          </w:p>
        </w:tc>
        <w:tc>
          <w:tcPr>
            <w:tcW w:w="0" w:type="auto"/>
            <w:tcBorders>
              <w:top w:val="single" w:sz="0" w:space="0" w:color="D3D3D3"/>
              <w:left w:val="single" w:sz="0" w:space="0" w:color="D3D3D3"/>
              <w:bottom w:val="single" w:sz="0" w:space="0" w:color="D3D3D3"/>
              <w:right w:val="single" w:sz="0" w:space="0" w:color="D3D3D3"/>
            </w:tcBorders>
          </w:tcPr>
          <w:p w14:paraId="5A85AC74"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-50.63594</w:t>
            </w:r>
          </w:p>
        </w:tc>
        <w:tc>
          <w:tcPr>
            <w:tcW w:w="0" w:type="auto"/>
            <w:tcBorders>
              <w:top w:val="single" w:sz="0" w:space="0" w:color="D3D3D3"/>
              <w:left w:val="single" w:sz="0" w:space="0" w:color="D3D3D3"/>
              <w:bottom w:val="single" w:sz="0" w:space="0" w:color="D3D3D3"/>
              <w:right w:val="single" w:sz="0" w:space="0" w:color="D3D3D3"/>
            </w:tcBorders>
          </w:tcPr>
          <w:p w14:paraId="5535C52B"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w:t>
            </w:r>
          </w:p>
        </w:tc>
      </w:tr>
      <w:tr w:rsidR="00CB318D" w:rsidRPr="00CB318D" w14:paraId="244E0F31" w14:textId="77777777">
        <w:trPr>
          <w:cantSplit/>
          <w:jc w:val="center"/>
        </w:trPr>
        <w:tc>
          <w:tcPr>
            <w:tcW w:w="0" w:type="auto"/>
            <w:gridSpan w:val="5"/>
          </w:tcPr>
          <w:p w14:paraId="61841CB4" w14:textId="77777777" w:rsidR="00935D9A" w:rsidRPr="00CB318D" w:rsidRDefault="0054436F">
            <w:pPr>
              <w:keepNext/>
              <w:spacing w:after="60"/>
              <w:rPr>
                <w:color w:val="000000" w:themeColor="text1"/>
              </w:rPr>
            </w:pPr>
            <w:r w:rsidRPr="00CB318D">
              <w:rPr>
                <w:rFonts w:ascii="Calibri" w:hAnsi="Calibri"/>
                <w:color w:val="000000" w:themeColor="text1"/>
                <w:sz w:val="20"/>
              </w:rPr>
              <w:t>log-likelihood = -22857.4831851504</w:t>
            </w:r>
          </w:p>
        </w:tc>
      </w:tr>
      <w:tr w:rsidR="00CB318D" w:rsidRPr="00CB318D" w14:paraId="411B9BE9" w14:textId="77777777">
        <w:trPr>
          <w:cantSplit/>
          <w:jc w:val="center"/>
        </w:trPr>
        <w:tc>
          <w:tcPr>
            <w:tcW w:w="0" w:type="auto"/>
            <w:gridSpan w:val="5"/>
          </w:tcPr>
          <w:p w14:paraId="61A9908F" w14:textId="77777777" w:rsidR="00935D9A" w:rsidRPr="00CB318D" w:rsidRDefault="0054436F">
            <w:pPr>
              <w:keepNext/>
              <w:spacing w:after="60"/>
              <w:rPr>
                <w:color w:val="000000" w:themeColor="text1"/>
              </w:rPr>
            </w:pPr>
            <w:r w:rsidRPr="00CB318D">
              <w:rPr>
                <w:rFonts w:ascii="Calibri" w:hAnsi="Calibri"/>
                <w:color w:val="000000" w:themeColor="text1"/>
                <w:sz w:val="20"/>
              </w:rPr>
              <w:t>AIC = 45718.9663703008</w:t>
            </w:r>
          </w:p>
        </w:tc>
      </w:tr>
      <w:tr w:rsidR="00CB318D" w:rsidRPr="00CB318D" w14:paraId="36659C76" w14:textId="77777777">
        <w:trPr>
          <w:cantSplit/>
          <w:jc w:val="center"/>
        </w:trPr>
        <w:tc>
          <w:tcPr>
            <w:tcW w:w="0" w:type="auto"/>
            <w:gridSpan w:val="5"/>
          </w:tcPr>
          <w:p w14:paraId="5B390AF1" w14:textId="77777777" w:rsidR="00935D9A" w:rsidRPr="00CB318D" w:rsidRDefault="0054436F">
            <w:pPr>
              <w:keepNext/>
              <w:spacing w:after="60"/>
              <w:rPr>
                <w:color w:val="000000" w:themeColor="text1"/>
              </w:rPr>
            </w:pPr>
            <w:r w:rsidRPr="00CB318D">
              <w:rPr>
                <w:rFonts w:ascii="Calibri" w:hAnsi="Calibri"/>
                <w:color w:val="000000" w:themeColor="text1"/>
                <w:sz w:val="20"/>
              </w:rPr>
              <w:t>BIC = 45732.6972759523</w:t>
            </w:r>
          </w:p>
        </w:tc>
      </w:tr>
    </w:tbl>
    <w:tbl>
      <w:tblPr>
        <w:tblStyle w:val="Table"/>
        <w:tblW w:w="5000" w:type="pct"/>
        <w:tblLayout w:type="fixed"/>
        <w:tblLook w:val="0000" w:firstRow="0" w:lastRow="0" w:firstColumn="0" w:lastColumn="0" w:noHBand="0" w:noVBand="0"/>
      </w:tblPr>
      <w:tblGrid>
        <w:gridCol w:w="9360"/>
      </w:tblGrid>
      <w:tr w:rsidR="00CB318D" w:rsidRPr="00CB318D" w14:paraId="70F5F187" w14:textId="77777777">
        <w:tc>
          <w:tcPr>
            <w:tcW w:w="7920" w:type="dxa"/>
          </w:tcPr>
          <w:p w14:paraId="73303DB2" w14:textId="77777777" w:rsidR="00935D9A" w:rsidRPr="00CB318D" w:rsidRDefault="0054436F">
            <w:pPr>
              <w:pStyle w:val="ImageCaption"/>
              <w:spacing w:before="200"/>
              <w:rPr>
                <w:color w:val="000000" w:themeColor="text1"/>
              </w:rPr>
            </w:pPr>
            <w:bookmarkStart w:id="30" w:name="tbl-km-log_logistic-ch1"/>
            <w:r w:rsidRPr="00CB318D">
              <w:rPr>
                <w:color w:val="000000" w:themeColor="text1"/>
              </w:rPr>
              <w:t>Table 6: Survival model fit summary (log-logistic distribution)</w:t>
            </w:r>
          </w:p>
          <w:bookmarkEnd w:id="30"/>
          <w:p w14:paraId="38460336" w14:textId="77777777" w:rsidR="00935D9A" w:rsidRPr="00CB318D" w:rsidRDefault="00935D9A">
            <w:pPr>
              <w:rPr>
                <w:color w:val="000000" w:themeColor="text1"/>
              </w:rPr>
            </w:pPr>
          </w:p>
        </w:tc>
      </w:tr>
    </w:tbl>
    <w:p w14:paraId="263FA9C0" w14:textId="77777777" w:rsidR="00935D9A" w:rsidRPr="00CB318D" w:rsidRDefault="0054436F">
      <w:pPr>
        <w:rPr>
          <w:color w:val="000000" w:themeColor="text1"/>
        </w:rPr>
      </w:pPr>
      <w:r w:rsidRPr="00CB318D">
        <w:rPr>
          <w:color w:val="000000" w:themeColor="text1"/>
        </w:rPr>
        <w:br w:type="page"/>
      </w:r>
    </w:p>
    <w:p w14:paraId="735FFF31" w14:textId="77777777" w:rsidR="00935D9A" w:rsidRPr="00CB318D" w:rsidRDefault="0054436F">
      <w:pPr>
        <w:pStyle w:val="Heading4"/>
        <w:rPr>
          <w:color w:val="000000" w:themeColor="text1"/>
        </w:rPr>
      </w:pPr>
      <w:bookmarkStart w:id="31" w:name="gaussian"/>
      <w:bookmarkEnd w:id="28"/>
      <w:r w:rsidRPr="00CB318D">
        <w:rPr>
          <w:color w:val="000000" w:themeColor="text1"/>
        </w:rPr>
        <w:lastRenderedPageBreak/>
        <w:t>Gaussian</w:t>
      </w:r>
    </w:p>
    <w:tbl>
      <w:tblPr>
        <w:tblStyle w:val="Table"/>
        <w:tblW w:w="5000" w:type="pct"/>
        <w:tblLayout w:type="fixed"/>
        <w:tblLook w:val="0020" w:firstRow="1" w:lastRow="0" w:firstColumn="0" w:lastColumn="0" w:noHBand="0" w:noVBand="0"/>
      </w:tblPr>
      <w:tblGrid>
        <w:gridCol w:w="9360"/>
      </w:tblGrid>
      <w:tr w:rsidR="00CB318D" w:rsidRPr="00CB318D" w14:paraId="09A77BB2" w14:textId="77777777" w:rsidTr="00215699">
        <w:trPr>
          <w:cnfStyle w:val="100000000000" w:firstRow="1" w:lastRow="0" w:firstColumn="0" w:lastColumn="0" w:oddVBand="0" w:evenVBand="0" w:oddHBand="0" w:evenHBand="0" w:firstRowFirstColumn="0" w:firstRowLastColumn="0" w:lastRowFirstColumn="0" w:lastRowLastColumn="0"/>
        </w:trPr>
        <w:tc>
          <w:tcPr>
            <w:tcW w:w="7920" w:type="dxa"/>
          </w:tcPr>
          <w:p w14:paraId="44CDEFD7" w14:textId="086DB174" w:rsidR="00935D9A" w:rsidRPr="00CB318D" w:rsidRDefault="0054436F">
            <w:pPr>
              <w:pStyle w:val="ImageCaption"/>
              <w:spacing w:before="200"/>
              <w:rPr>
                <w:color w:val="000000" w:themeColor="text1"/>
              </w:rPr>
            </w:pPr>
            <w:bookmarkStart w:id="32" w:name="fig-km-Gaussian-ch1"/>
            <w:r w:rsidRPr="00CB318D">
              <w:rPr>
                <w:color w:val="000000" w:themeColor="text1"/>
              </w:rPr>
              <w:t>Figure </w:t>
            </w:r>
            <w:r w:rsidR="00291865" w:rsidRPr="00CB318D">
              <w:rPr>
                <w:color w:val="000000" w:themeColor="text1"/>
              </w:rPr>
              <w:t>8</w:t>
            </w:r>
            <w:r w:rsidRPr="00CB318D">
              <w:rPr>
                <w:color w:val="000000" w:themeColor="text1"/>
              </w:rPr>
              <w:t>: Overall survival against Gaussian survival function</w:t>
            </w:r>
          </w:p>
          <w:p w14:paraId="2B76DA75" w14:textId="77777777" w:rsidR="00935D9A" w:rsidRPr="00CB318D" w:rsidRDefault="0054436F">
            <w:pPr>
              <w:pStyle w:val="Compact"/>
              <w:jc w:val="center"/>
              <w:rPr>
                <w:color w:val="000000" w:themeColor="text1"/>
              </w:rPr>
            </w:pPr>
            <w:r w:rsidRPr="00CB318D">
              <w:rPr>
                <w:noProof/>
                <w:color w:val="000000" w:themeColor="text1"/>
              </w:rPr>
              <w:drawing>
                <wp:inline distT="0" distB="0" distL="0" distR="0" wp14:anchorId="4D6EEDC5" wp14:editId="33A49029">
                  <wp:extent cx="5943600" cy="3657600"/>
                  <wp:effectExtent l="0" t="0" r="0" b="0"/>
                  <wp:docPr id="72" name="Picture" title="A Kaplan-Meier plot showing overall survival over time for individuals who have received PLD or paclitaxel monotherapy, with an overlaid Gaussian model fit."/>
                  <wp:cNvGraphicFramePr/>
                  <a:graphic xmlns:a="http://schemas.openxmlformats.org/drawingml/2006/main">
                    <a:graphicData uri="http://schemas.openxmlformats.org/drawingml/2006/picture">
                      <pic:pic xmlns:pic="http://schemas.openxmlformats.org/drawingml/2006/picture">
                        <pic:nvPicPr>
                          <pic:cNvPr id="73" name="Picture" descr="ID6442_MS_for_OFP_cancers_updated_death_rjw_files/figure-docx/fig-km-Gaussian-ch1-1.png"/>
                          <pic:cNvPicPr>
                            <a:picLocks noChangeAspect="1" noChangeArrowheads="1"/>
                          </pic:cNvPicPr>
                        </pic:nvPicPr>
                        <pic:blipFill>
                          <a:blip r:embed="rId17"/>
                          <a:stretch>
                            <a:fillRect/>
                          </a:stretch>
                        </pic:blipFill>
                        <pic:spPr bwMode="auto">
                          <a:xfrm>
                            <a:off x="0" y="0"/>
                            <a:ext cx="5943600" cy="3657600"/>
                          </a:xfrm>
                          <a:prstGeom prst="rect">
                            <a:avLst/>
                          </a:prstGeom>
                          <a:noFill/>
                          <a:ln w="9525">
                            <a:noFill/>
                            <a:headEnd/>
                            <a:tailEnd/>
                          </a:ln>
                        </pic:spPr>
                      </pic:pic>
                    </a:graphicData>
                  </a:graphic>
                </wp:inline>
              </w:drawing>
            </w:r>
          </w:p>
        </w:tc>
        <w:bookmarkEnd w:id="32"/>
      </w:tr>
    </w:tbl>
    <w:p w14:paraId="79411030" w14:textId="77777777" w:rsidR="00935D9A" w:rsidRPr="00CB318D" w:rsidRDefault="00935D9A">
      <w:pPr>
        <w:pStyle w:val="BodyText"/>
        <w:rPr>
          <w:color w:val="000000" w:themeColor="text1"/>
        </w:rPr>
      </w:pPr>
    </w:p>
    <w:tbl>
      <w:tblPr>
        <w:tblW w:w="0" w:type="auto"/>
        <w:jc w:val="center"/>
        <w:tblCellMar>
          <w:left w:w="60" w:type="dxa"/>
          <w:right w:w="60" w:type="dxa"/>
        </w:tblCellMar>
        <w:tblLook w:val="0000" w:firstRow="0" w:lastRow="0" w:firstColumn="0" w:lastColumn="0" w:noHBand="0" w:noVBand="0"/>
      </w:tblPr>
      <w:tblGrid>
        <w:gridCol w:w="990"/>
        <w:gridCol w:w="831"/>
        <w:gridCol w:w="892"/>
        <w:gridCol w:w="982"/>
        <w:gridCol w:w="723"/>
      </w:tblGrid>
      <w:tr w:rsidR="00CB318D" w:rsidRPr="00CB318D" w14:paraId="285144ED" w14:textId="77777777">
        <w:trPr>
          <w:cantSplit/>
          <w:tblHeader/>
          <w:jc w:val="center"/>
        </w:trPr>
        <w:tc>
          <w:tcPr>
            <w:tcW w:w="0" w:type="auto"/>
            <w:tcBorders>
              <w:top w:val="single" w:sz="16" w:space="0" w:color="D3D3D3"/>
              <w:left w:val="single" w:sz="0" w:space="0" w:color="D3D3D3"/>
              <w:bottom w:val="single" w:sz="16" w:space="0" w:color="D3D3D3"/>
            </w:tcBorders>
          </w:tcPr>
          <w:p w14:paraId="5016E7F0" w14:textId="77777777" w:rsidR="00935D9A" w:rsidRPr="00CB318D" w:rsidRDefault="0054436F">
            <w:pPr>
              <w:keepNext/>
              <w:spacing w:after="60"/>
              <w:rPr>
                <w:color w:val="000000" w:themeColor="text1"/>
              </w:rPr>
            </w:pPr>
            <w:r w:rsidRPr="00CB318D">
              <w:rPr>
                <w:rFonts w:ascii="Calibri" w:hAnsi="Calibri"/>
                <w:color w:val="000000" w:themeColor="text1"/>
                <w:sz w:val="20"/>
              </w:rPr>
              <w:t>Parameter</w:t>
            </w:r>
          </w:p>
        </w:tc>
        <w:tc>
          <w:tcPr>
            <w:tcW w:w="0" w:type="auto"/>
            <w:tcBorders>
              <w:top w:val="single" w:sz="16" w:space="0" w:color="D3D3D3"/>
              <w:bottom w:val="single" w:sz="16" w:space="0" w:color="D3D3D3"/>
            </w:tcBorders>
          </w:tcPr>
          <w:p w14:paraId="19CCCE9D"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Estimate</w:t>
            </w:r>
          </w:p>
        </w:tc>
        <w:tc>
          <w:tcPr>
            <w:tcW w:w="0" w:type="auto"/>
            <w:tcBorders>
              <w:top w:val="single" w:sz="16" w:space="0" w:color="D3D3D3"/>
              <w:bottom w:val="single" w:sz="16" w:space="0" w:color="D3D3D3"/>
            </w:tcBorders>
          </w:tcPr>
          <w:p w14:paraId="611F0A24"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Std. Error</w:t>
            </w:r>
          </w:p>
        </w:tc>
        <w:tc>
          <w:tcPr>
            <w:tcW w:w="0" w:type="auto"/>
            <w:tcBorders>
              <w:top w:val="single" w:sz="16" w:space="0" w:color="D3D3D3"/>
              <w:bottom w:val="single" w:sz="16" w:space="0" w:color="D3D3D3"/>
            </w:tcBorders>
          </w:tcPr>
          <w:p w14:paraId="7ED4EE40"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z</w:t>
            </w:r>
          </w:p>
        </w:tc>
        <w:tc>
          <w:tcPr>
            <w:tcW w:w="0" w:type="auto"/>
            <w:tcBorders>
              <w:top w:val="single" w:sz="16" w:space="0" w:color="D3D3D3"/>
              <w:bottom w:val="single" w:sz="16" w:space="0" w:color="D3D3D3"/>
              <w:right w:val="single" w:sz="0" w:space="0" w:color="D3D3D3"/>
            </w:tcBorders>
          </w:tcPr>
          <w:p w14:paraId="49C51206"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p-value</w:t>
            </w:r>
          </w:p>
        </w:tc>
      </w:tr>
      <w:tr w:rsidR="00CB318D" w:rsidRPr="00CB318D" w14:paraId="67002819"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50CDFC48" w14:textId="77777777" w:rsidR="00935D9A" w:rsidRPr="00CB318D" w:rsidRDefault="0054436F">
            <w:pPr>
              <w:keepNext/>
              <w:spacing w:after="60"/>
              <w:rPr>
                <w:color w:val="000000" w:themeColor="text1"/>
              </w:rPr>
            </w:pPr>
            <w:r w:rsidRPr="00CB318D">
              <w:rPr>
                <w:rFonts w:ascii="Calibri" w:hAnsi="Calibri"/>
                <w:color w:val="000000" w:themeColor="text1"/>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09543B3D"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12.586</w:t>
            </w:r>
          </w:p>
        </w:tc>
        <w:tc>
          <w:tcPr>
            <w:tcW w:w="0" w:type="auto"/>
            <w:tcBorders>
              <w:top w:val="single" w:sz="0" w:space="0" w:color="D3D3D3"/>
              <w:left w:val="single" w:sz="0" w:space="0" w:color="D3D3D3"/>
              <w:bottom w:val="single" w:sz="0" w:space="0" w:color="D3D3D3"/>
              <w:right w:val="single" w:sz="0" w:space="0" w:color="D3D3D3"/>
            </w:tcBorders>
          </w:tcPr>
          <w:p w14:paraId="7F7147E8"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0.158</w:t>
            </w:r>
          </w:p>
        </w:tc>
        <w:tc>
          <w:tcPr>
            <w:tcW w:w="0" w:type="auto"/>
            <w:tcBorders>
              <w:top w:val="single" w:sz="0" w:space="0" w:color="D3D3D3"/>
              <w:left w:val="single" w:sz="0" w:space="0" w:color="D3D3D3"/>
              <w:bottom w:val="single" w:sz="0" w:space="0" w:color="D3D3D3"/>
              <w:right w:val="single" w:sz="0" w:space="0" w:color="D3D3D3"/>
            </w:tcBorders>
          </w:tcPr>
          <w:p w14:paraId="37E08AB0"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79.64473</w:t>
            </w:r>
          </w:p>
        </w:tc>
        <w:tc>
          <w:tcPr>
            <w:tcW w:w="0" w:type="auto"/>
            <w:tcBorders>
              <w:top w:val="single" w:sz="0" w:space="0" w:color="D3D3D3"/>
              <w:left w:val="single" w:sz="0" w:space="0" w:color="D3D3D3"/>
              <w:bottom w:val="single" w:sz="0" w:space="0" w:color="D3D3D3"/>
              <w:right w:val="single" w:sz="0" w:space="0" w:color="D3D3D3"/>
            </w:tcBorders>
          </w:tcPr>
          <w:p w14:paraId="3C356212"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w:t>
            </w:r>
          </w:p>
        </w:tc>
      </w:tr>
      <w:tr w:rsidR="00CB318D" w:rsidRPr="00CB318D" w14:paraId="254D9B17"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C0F45F0" w14:textId="77777777" w:rsidR="00935D9A" w:rsidRPr="00CB318D" w:rsidRDefault="0054436F">
            <w:pPr>
              <w:keepNext/>
              <w:spacing w:after="60"/>
              <w:rPr>
                <w:color w:val="000000" w:themeColor="text1"/>
              </w:rPr>
            </w:pPr>
            <w:r w:rsidRPr="00CB318D">
              <w:rPr>
                <w:rFonts w:ascii="Calibri" w:hAnsi="Calibri"/>
                <w:color w:val="000000" w:themeColor="text1"/>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40FACF85"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2.576</w:t>
            </w:r>
          </w:p>
        </w:tc>
        <w:tc>
          <w:tcPr>
            <w:tcW w:w="0" w:type="auto"/>
            <w:tcBorders>
              <w:top w:val="single" w:sz="0" w:space="0" w:color="D3D3D3"/>
              <w:left w:val="single" w:sz="0" w:space="0" w:color="D3D3D3"/>
              <w:bottom w:val="single" w:sz="0" w:space="0" w:color="D3D3D3"/>
              <w:right w:val="single" w:sz="0" w:space="0" w:color="D3D3D3"/>
            </w:tcBorders>
          </w:tcPr>
          <w:p w14:paraId="70F7F828"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0.009</w:t>
            </w:r>
          </w:p>
        </w:tc>
        <w:tc>
          <w:tcPr>
            <w:tcW w:w="0" w:type="auto"/>
            <w:tcBorders>
              <w:top w:val="single" w:sz="0" w:space="0" w:color="D3D3D3"/>
              <w:left w:val="single" w:sz="0" w:space="0" w:color="D3D3D3"/>
              <w:bottom w:val="single" w:sz="0" w:space="0" w:color="D3D3D3"/>
              <w:right w:val="single" w:sz="0" w:space="0" w:color="D3D3D3"/>
            </w:tcBorders>
          </w:tcPr>
          <w:p w14:paraId="73F80460"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290.53888</w:t>
            </w:r>
          </w:p>
        </w:tc>
        <w:tc>
          <w:tcPr>
            <w:tcW w:w="0" w:type="auto"/>
            <w:tcBorders>
              <w:top w:val="single" w:sz="0" w:space="0" w:color="D3D3D3"/>
              <w:left w:val="single" w:sz="0" w:space="0" w:color="D3D3D3"/>
              <w:bottom w:val="single" w:sz="0" w:space="0" w:color="D3D3D3"/>
              <w:right w:val="single" w:sz="0" w:space="0" w:color="D3D3D3"/>
            </w:tcBorders>
          </w:tcPr>
          <w:p w14:paraId="0CCCBBCF"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w:t>
            </w:r>
          </w:p>
        </w:tc>
      </w:tr>
      <w:tr w:rsidR="00CB318D" w:rsidRPr="00CB318D" w14:paraId="11756F14" w14:textId="77777777">
        <w:trPr>
          <w:cantSplit/>
          <w:jc w:val="center"/>
        </w:trPr>
        <w:tc>
          <w:tcPr>
            <w:tcW w:w="0" w:type="auto"/>
            <w:gridSpan w:val="5"/>
          </w:tcPr>
          <w:p w14:paraId="2D437F3F" w14:textId="77777777" w:rsidR="00935D9A" w:rsidRPr="00CB318D" w:rsidRDefault="0054436F">
            <w:pPr>
              <w:keepNext/>
              <w:spacing w:after="60"/>
              <w:rPr>
                <w:color w:val="000000" w:themeColor="text1"/>
              </w:rPr>
            </w:pPr>
            <w:r w:rsidRPr="00CB318D">
              <w:rPr>
                <w:rFonts w:ascii="Calibri" w:hAnsi="Calibri"/>
                <w:color w:val="000000" w:themeColor="text1"/>
                <w:sz w:val="20"/>
              </w:rPr>
              <w:t>log-likelihood = -26588.8001426688</w:t>
            </w:r>
          </w:p>
        </w:tc>
      </w:tr>
      <w:tr w:rsidR="00CB318D" w:rsidRPr="00CB318D" w14:paraId="7DC377F1" w14:textId="77777777">
        <w:trPr>
          <w:cantSplit/>
          <w:jc w:val="center"/>
        </w:trPr>
        <w:tc>
          <w:tcPr>
            <w:tcW w:w="0" w:type="auto"/>
            <w:gridSpan w:val="5"/>
          </w:tcPr>
          <w:p w14:paraId="613307EA" w14:textId="77777777" w:rsidR="00935D9A" w:rsidRPr="00CB318D" w:rsidRDefault="0054436F">
            <w:pPr>
              <w:keepNext/>
              <w:spacing w:after="60"/>
              <w:rPr>
                <w:color w:val="000000" w:themeColor="text1"/>
              </w:rPr>
            </w:pPr>
            <w:r w:rsidRPr="00CB318D">
              <w:rPr>
                <w:rFonts w:ascii="Calibri" w:hAnsi="Calibri"/>
                <w:color w:val="000000" w:themeColor="text1"/>
                <w:sz w:val="20"/>
              </w:rPr>
              <w:t>AIC = 53181.6002853376</w:t>
            </w:r>
          </w:p>
        </w:tc>
      </w:tr>
      <w:tr w:rsidR="00CB318D" w:rsidRPr="00CB318D" w14:paraId="1BE7DE58" w14:textId="77777777">
        <w:trPr>
          <w:cantSplit/>
          <w:jc w:val="center"/>
        </w:trPr>
        <w:tc>
          <w:tcPr>
            <w:tcW w:w="0" w:type="auto"/>
            <w:gridSpan w:val="5"/>
          </w:tcPr>
          <w:p w14:paraId="4EDD53E2" w14:textId="77777777" w:rsidR="00935D9A" w:rsidRPr="00CB318D" w:rsidRDefault="0054436F">
            <w:pPr>
              <w:keepNext/>
              <w:spacing w:after="60"/>
              <w:rPr>
                <w:color w:val="000000" w:themeColor="text1"/>
              </w:rPr>
            </w:pPr>
            <w:r w:rsidRPr="00CB318D">
              <w:rPr>
                <w:rFonts w:ascii="Calibri" w:hAnsi="Calibri"/>
                <w:color w:val="000000" w:themeColor="text1"/>
                <w:sz w:val="20"/>
              </w:rPr>
              <w:t>BIC = 53195.3311909891</w:t>
            </w:r>
          </w:p>
        </w:tc>
      </w:tr>
    </w:tbl>
    <w:tbl>
      <w:tblPr>
        <w:tblStyle w:val="Table"/>
        <w:tblW w:w="5000" w:type="pct"/>
        <w:tblLayout w:type="fixed"/>
        <w:tblLook w:val="0000" w:firstRow="0" w:lastRow="0" w:firstColumn="0" w:lastColumn="0" w:noHBand="0" w:noVBand="0"/>
      </w:tblPr>
      <w:tblGrid>
        <w:gridCol w:w="9360"/>
      </w:tblGrid>
      <w:tr w:rsidR="00CB318D" w:rsidRPr="00CB318D" w14:paraId="705A3EF0" w14:textId="77777777">
        <w:tc>
          <w:tcPr>
            <w:tcW w:w="7920" w:type="dxa"/>
          </w:tcPr>
          <w:p w14:paraId="29499642" w14:textId="77777777" w:rsidR="00935D9A" w:rsidRPr="00CB318D" w:rsidRDefault="0054436F">
            <w:pPr>
              <w:pStyle w:val="ImageCaption"/>
              <w:spacing w:before="200"/>
              <w:rPr>
                <w:color w:val="000000" w:themeColor="text1"/>
              </w:rPr>
            </w:pPr>
            <w:bookmarkStart w:id="33" w:name="tbl-km-Gaussian-ch1"/>
            <w:r w:rsidRPr="00CB318D">
              <w:rPr>
                <w:color w:val="000000" w:themeColor="text1"/>
              </w:rPr>
              <w:t>Table 7: Survival model fit summary (Gaussian distribution)</w:t>
            </w:r>
          </w:p>
          <w:bookmarkEnd w:id="33"/>
          <w:p w14:paraId="6CED8D7F" w14:textId="77777777" w:rsidR="00935D9A" w:rsidRPr="00CB318D" w:rsidRDefault="00935D9A">
            <w:pPr>
              <w:rPr>
                <w:color w:val="000000" w:themeColor="text1"/>
              </w:rPr>
            </w:pPr>
          </w:p>
        </w:tc>
      </w:tr>
    </w:tbl>
    <w:p w14:paraId="512D7C7D" w14:textId="77777777" w:rsidR="00935D9A" w:rsidRPr="00CB318D" w:rsidRDefault="0054436F">
      <w:pPr>
        <w:rPr>
          <w:color w:val="000000" w:themeColor="text1"/>
        </w:rPr>
      </w:pPr>
      <w:r w:rsidRPr="00CB318D">
        <w:rPr>
          <w:color w:val="000000" w:themeColor="text1"/>
        </w:rPr>
        <w:br w:type="page"/>
      </w:r>
    </w:p>
    <w:p w14:paraId="590DB8A0" w14:textId="77777777" w:rsidR="00935D9A" w:rsidRPr="00CB318D" w:rsidRDefault="0054436F">
      <w:pPr>
        <w:pStyle w:val="Heading4"/>
        <w:rPr>
          <w:color w:val="000000" w:themeColor="text1"/>
        </w:rPr>
      </w:pPr>
      <w:bookmarkStart w:id="34" w:name="gamma"/>
      <w:bookmarkEnd w:id="31"/>
      <w:r w:rsidRPr="00CB318D">
        <w:rPr>
          <w:color w:val="000000" w:themeColor="text1"/>
        </w:rPr>
        <w:lastRenderedPageBreak/>
        <w:t>Gamma</w:t>
      </w:r>
    </w:p>
    <w:tbl>
      <w:tblPr>
        <w:tblStyle w:val="Table"/>
        <w:tblW w:w="5000" w:type="pct"/>
        <w:tblLayout w:type="fixed"/>
        <w:tblLook w:val="0020" w:firstRow="1" w:lastRow="0" w:firstColumn="0" w:lastColumn="0" w:noHBand="0" w:noVBand="0"/>
      </w:tblPr>
      <w:tblGrid>
        <w:gridCol w:w="9360"/>
      </w:tblGrid>
      <w:tr w:rsidR="00CB318D" w:rsidRPr="00CB318D" w14:paraId="262D2131" w14:textId="77777777" w:rsidTr="00215699">
        <w:trPr>
          <w:cnfStyle w:val="100000000000" w:firstRow="1" w:lastRow="0" w:firstColumn="0" w:lastColumn="0" w:oddVBand="0" w:evenVBand="0" w:oddHBand="0" w:evenHBand="0" w:firstRowFirstColumn="0" w:firstRowLastColumn="0" w:lastRowFirstColumn="0" w:lastRowLastColumn="0"/>
        </w:trPr>
        <w:tc>
          <w:tcPr>
            <w:tcW w:w="7920" w:type="dxa"/>
          </w:tcPr>
          <w:p w14:paraId="7E70BD92" w14:textId="147BBEE5" w:rsidR="00935D9A" w:rsidRPr="00CB318D" w:rsidRDefault="0054436F">
            <w:pPr>
              <w:pStyle w:val="ImageCaption"/>
              <w:spacing w:before="200"/>
              <w:rPr>
                <w:color w:val="000000" w:themeColor="text1"/>
              </w:rPr>
            </w:pPr>
            <w:bookmarkStart w:id="35" w:name="fig-km-gamma-ch1"/>
            <w:r w:rsidRPr="00CB318D">
              <w:rPr>
                <w:color w:val="000000" w:themeColor="text1"/>
              </w:rPr>
              <w:t>Figure </w:t>
            </w:r>
            <w:r w:rsidR="00291865" w:rsidRPr="00CB318D">
              <w:rPr>
                <w:color w:val="000000" w:themeColor="text1"/>
              </w:rPr>
              <w:t>9</w:t>
            </w:r>
            <w:r w:rsidRPr="00CB318D">
              <w:rPr>
                <w:color w:val="000000" w:themeColor="text1"/>
              </w:rPr>
              <w:t>: Overall survival against gamma survival function</w:t>
            </w:r>
          </w:p>
          <w:p w14:paraId="46257603" w14:textId="77777777" w:rsidR="00935D9A" w:rsidRPr="00CB318D" w:rsidRDefault="0054436F">
            <w:pPr>
              <w:pStyle w:val="Compact"/>
              <w:jc w:val="center"/>
              <w:rPr>
                <w:color w:val="000000" w:themeColor="text1"/>
              </w:rPr>
            </w:pPr>
            <w:r w:rsidRPr="00CB318D">
              <w:rPr>
                <w:noProof/>
                <w:color w:val="000000" w:themeColor="text1"/>
              </w:rPr>
              <w:drawing>
                <wp:inline distT="0" distB="0" distL="0" distR="0" wp14:anchorId="4B3B3675" wp14:editId="39A4FDDF">
                  <wp:extent cx="5943600" cy="3657600"/>
                  <wp:effectExtent l="0" t="0" r="0" b="0"/>
                  <wp:docPr id="78" name="Picture" title="A Kaplan-Meier plot showing overall survival over time for individuals who have received PLD or paclitaxel monotherapy, with an overlaid gamma model fit."/>
                  <wp:cNvGraphicFramePr/>
                  <a:graphic xmlns:a="http://schemas.openxmlformats.org/drawingml/2006/main">
                    <a:graphicData uri="http://schemas.openxmlformats.org/drawingml/2006/picture">
                      <pic:pic xmlns:pic="http://schemas.openxmlformats.org/drawingml/2006/picture">
                        <pic:nvPicPr>
                          <pic:cNvPr id="79" name="Picture" descr="ID6442_MS_for_OFP_cancers_updated_death_rjw_files/figure-docx/fig-km-gamma-ch1-1.png"/>
                          <pic:cNvPicPr>
                            <a:picLocks noChangeAspect="1" noChangeArrowheads="1"/>
                          </pic:cNvPicPr>
                        </pic:nvPicPr>
                        <pic:blipFill>
                          <a:blip r:embed="rId18"/>
                          <a:stretch>
                            <a:fillRect/>
                          </a:stretch>
                        </pic:blipFill>
                        <pic:spPr bwMode="auto">
                          <a:xfrm>
                            <a:off x="0" y="0"/>
                            <a:ext cx="5943600" cy="3657600"/>
                          </a:xfrm>
                          <a:prstGeom prst="rect">
                            <a:avLst/>
                          </a:prstGeom>
                          <a:noFill/>
                          <a:ln w="9525">
                            <a:noFill/>
                            <a:headEnd/>
                            <a:tailEnd/>
                          </a:ln>
                        </pic:spPr>
                      </pic:pic>
                    </a:graphicData>
                  </a:graphic>
                </wp:inline>
              </w:drawing>
            </w:r>
          </w:p>
        </w:tc>
        <w:bookmarkEnd w:id="35"/>
      </w:tr>
    </w:tbl>
    <w:p w14:paraId="2C5F0EF2" w14:textId="77777777" w:rsidR="00935D9A" w:rsidRPr="00CB318D" w:rsidRDefault="00935D9A">
      <w:pPr>
        <w:pStyle w:val="BodyText"/>
        <w:rPr>
          <w:color w:val="000000" w:themeColor="text1"/>
        </w:rPr>
      </w:pPr>
    </w:p>
    <w:tbl>
      <w:tblPr>
        <w:tblW w:w="0" w:type="auto"/>
        <w:jc w:val="center"/>
        <w:tblCellMar>
          <w:left w:w="60" w:type="dxa"/>
          <w:right w:w="60" w:type="dxa"/>
        </w:tblCellMar>
        <w:tblLook w:val="0000" w:firstRow="0" w:lastRow="0" w:firstColumn="0" w:lastColumn="0" w:noHBand="0" w:noVBand="0"/>
      </w:tblPr>
      <w:tblGrid>
        <w:gridCol w:w="981"/>
        <w:gridCol w:w="831"/>
        <w:gridCol w:w="892"/>
        <w:gridCol w:w="1083"/>
        <w:gridCol w:w="1083"/>
      </w:tblGrid>
      <w:tr w:rsidR="00CB318D" w:rsidRPr="00CB318D" w14:paraId="62EE54ED" w14:textId="77777777">
        <w:trPr>
          <w:cantSplit/>
          <w:tblHeader/>
          <w:jc w:val="center"/>
        </w:trPr>
        <w:tc>
          <w:tcPr>
            <w:tcW w:w="0" w:type="auto"/>
            <w:tcBorders>
              <w:top w:val="single" w:sz="16" w:space="0" w:color="D3D3D3"/>
              <w:left w:val="single" w:sz="0" w:space="0" w:color="D3D3D3"/>
              <w:bottom w:val="single" w:sz="16" w:space="0" w:color="D3D3D3"/>
            </w:tcBorders>
          </w:tcPr>
          <w:p w14:paraId="55CD31F4" w14:textId="77777777" w:rsidR="00935D9A" w:rsidRPr="00CB318D" w:rsidRDefault="0054436F">
            <w:pPr>
              <w:keepNext/>
              <w:spacing w:after="60"/>
              <w:rPr>
                <w:color w:val="000000" w:themeColor="text1"/>
              </w:rPr>
            </w:pPr>
            <w:r w:rsidRPr="00CB318D">
              <w:rPr>
                <w:rFonts w:ascii="Calibri" w:hAnsi="Calibri"/>
                <w:color w:val="000000" w:themeColor="text1"/>
                <w:sz w:val="20"/>
              </w:rPr>
              <w:t>Parameter</w:t>
            </w:r>
          </w:p>
        </w:tc>
        <w:tc>
          <w:tcPr>
            <w:tcW w:w="0" w:type="auto"/>
            <w:tcBorders>
              <w:top w:val="single" w:sz="16" w:space="0" w:color="D3D3D3"/>
              <w:bottom w:val="single" w:sz="16" w:space="0" w:color="D3D3D3"/>
            </w:tcBorders>
          </w:tcPr>
          <w:p w14:paraId="3C0247E4"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Estimate</w:t>
            </w:r>
          </w:p>
        </w:tc>
        <w:tc>
          <w:tcPr>
            <w:tcW w:w="0" w:type="auto"/>
            <w:tcBorders>
              <w:top w:val="single" w:sz="16" w:space="0" w:color="D3D3D3"/>
              <w:bottom w:val="single" w:sz="16" w:space="0" w:color="D3D3D3"/>
            </w:tcBorders>
          </w:tcPr>
          <w:p w14:paraId="3E8CBF09"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Std. Error</w:t>
            </w:r>
          </w:p>
        </w:tc>
        <w:tc>
          <w:tcPr>
            <w:tcW w:w="0" w:type="auto"/>
            <w:tcBorders>
              <w:top w:val="single" w:sz="16" w:space="0" w:color="D3D3D3"/>
              <w:bottom w:val="single" w:sz="16" w:space="0" w:color="D3D3D3"/>
            </w:tcBorders>
          </w:tcPr>
          <w:p w14:paraId="38898181"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L95.</w:t>
            </w:r>
          </w:p>
        </w:tc>
        <w:tc>
          <w:tcPr>
            <w:tcW w:w="0" w:type="auto"/>
            <w:tcBorders>
              <w:top w:val="single" w:sz="16" w:space="0" w:color="D3D3D3"/>
              <w:bottom w:val="single" w:sz="16" w:space="0" w:color="D3D3D3"/>
              <w:right w:val="single" w:sz="0" w:space="0" w:color="D3D3D3"/>
            </w:tcBorders>
          </w:tcPr>
          <w:p w14:paraId="0E3A0569"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U95.</w:t>
            </w:r>
          </w:p>
        </w:tc>
      </w:tr>
      <w:tr w:rsidR="00CB318D" w:rsidRPr="00CB318D" w14:paraId="69715B85"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6C3CE262" w14:textId="77777777" w:rsidR="00935D9A" w:rsidRPr="00CB318D" w:rsidRDefault="0054436F">
            <w:pPr>
              <w:keepNext/>
              <w:spacing w:after="60"/>
              <w:rPr>
                <w:color w:val="000000" w:themeColor="text1"/>
              </w:rPr>
            </w:pPr>
            <w:r w:rsidRPr="00CB318D">
              <w:rPr>
                <w:rFonts w:ascii="Calibri" w:hAnsi="Calibri"/>
                <w:color w:val="000000" w:themeColor="text1"/>
                <w:sz w:val="20"/>
              </w:rPr>
              <w:t>shape</w:t>
            </w:r>
          </w:p>
        </w:tc>
        <w:tc>
          <w:tcPr>
            <w:tcW w:w="0" w:type="auto"/>
            <w:tcBorders>
              <w:top w:val="single" w:sz="0" w:space="0" w:color="D3D3D3"/>
              <w:left w:val="single" w:sz="0" w:space="0" w:color="D3D3D3"/>
              <w:bottom w:val="single" w:sz="0" w:space="0" w:color="D3D3D3"/>
              <w:right w:val="single" w:sz="0" w:space="0" w:color="D3D3D3"/>
            </w:tcBorders>
          </w:tcPr>
          <w:p w14:paraId="76C5C515"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1.199</w:t>
            </w:r>
          </w:p>
        </w:tc>
        <w:tc>
          <w:tcPr>
            <w:tcW w:w="0" w:type="auto"/>
            <w:tcBorders>
              <w:top w:val="single" w:sz="0" w:space="0" w:color="D3D3D3"/>
              <w:left w:val="single" w:sz="0" w:space="0" w:color="D3D3D3"/>
              <w:bottom w:val="single" w:sz="0" w:space="0" w:color="D3D3D3"/>
              <w:right w:val="single" w:sz="0" w:space="0" w:color="D3D3D3"/>
            </w:tcBorders>
          </w:tcPr>
          <w:p w14:paraId="1C269DA8"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0.019</w:t>
            </w:r>
          </w:p>
        </w:tc>
        <w:tc>
          <w:tcPr>
            <w:tcW w:w="0" w:type="auto"/>
            <w:tcBorders>
              <w:top w:val="single" w:sz="0" w:space="0" w:color="D3D3D3"/>
              <w:left w:val="single" w:sz="0" w:space="0" w:color="D3D3D3"/>
              <w:bottom w:val="single" w:sz="0" w:space="0" w:color="D3D3D3"/>
              <w:right w:val="single" w:sz="0" w:space="0" w:color="D3D3D3"/>
            </w:tcBorders>
          </w:tcPr>
          <w:p w14:paraId="107B0695"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1.16255090</w:t>
            </w:r>
          </w:p>
        </w:tc>
        <w:tc>
          <w:tcPr>
            <w:tcW w:w="0" w:type="auto"/>
            <w:tcBorders>
              <w:top w:val="single" w:sz="0" w:space="0" w:color="D3D3D3"/>
              <w:left w:val="single" w:sz="0" w:space="0" w:color="D3D3D3"/>
              <w:bottom w:val="single" w:sz="0" w:space="0" w:color="D3D3D3"/>
              <w:right w:val="single" w:sz="0" w:space="0" w:color="D3D3D3"/>
            </w:tcBorders>
          </w:tcPr>
          <w:p w14:paraId="5AB83FB8"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1.23564924</w:t>
            </w:r>
          </w:p>
        </w:tc>
      </w:tr>
      <w:tr w:rsidR="00CB318D" w:rsidRPr="00CB318D" w14:paraId="595B98BD"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3CD0E9D0" w14:textId="77777777" w:rsidR="00935D9A" w:rsidRPr="00CB318D" w:rsidRDefault="0054436F">
            <w:pPr>
              <w:keepNext/>
              <w:spacing w:after="60"/>
              <w:rPr>
                <w:color w:val="000000" w:themeColor="text1"/>
              </w:rPr>
            </w:pPr>
            <w:r w:rsidRPr="00CB318D">
              <w:rPr>
                <w:rFonts w:ascii="Calibri" w:hAnsi="Calibri"/>
                <w:color w:val="000000" w:themeColor="text1"/>
                <w:sz w:val="20"/>
              </w:rPr>
              <w:t>rate</w:t>
            </w:r>
          </w:p>
        </w:tc>
        <w:tc>
          <w:tcPr>
            <w:tcW w:w="0" w:type="auto"/>
            <w:tcBorders>
              <w:top w:val="single" w:sz="0" w:space="0" w:color="D3D3D3"/>
              <w:left w:val="single" w:sz="0" w:space="0" w:color="D3D3D3"/>
              <w:bottom w:val="single" w:sz="0" w:space="0" w:color="D3D3D3"/>
              <w:right w:val="single" w:sz="0" w:space="0" w:color="D3D3D3"/>
            </w:tcBorders>
          </w:tcPr>
          <w:p w14:paraId="35A6AB00"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0.093</w:t>
            </w:r>
          </w:p>
        </w:tc>
        <w:tc>
          <w:tcPr>
            <w:tcW w:w="0" w:type="auto"/>
            <w:tcBorders>
              <w:top w:val="single" w:sz="0" w:space="0" w:color="D3D3D3"/>
              <w:left w:val="single" w:sz="0" w:space="0" w:color="D3D3D3"/>
              <w:bottom w:val="single" w:sz="0" w:space="0" w:color="D3D3D3"/>
              <w:right w:val="single" w:sz="0" w:space="0" w:color="D3D3D3"/>
            </w:tcBorders>
          </w:tcPr>
          <w:p w14:paraId="55FB020E"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0.002</w:t>
            </w:r>
          </w:p>
        </w:tc>
        <w:tc>
          <w:tcPr>
            <w:tcW w:w="0" w:type="auto"/>
            <w:tcBorders>
              <w:top w:val="single" w:sz="0" w:space="0" w:color="D3D3D3"/>
              <w:left w:val="single" w:sz="0" w:space="0" w:color="D3D3D3"/>
              <w:bottom w:val="single" w:sz="0" w:space="0" w:color="D3D3D3"/>
              <w:right w:val="single" w:sz="0" w:space="0" w:color="D3D3D3"/>
            </w:tcBorders>
          </w:tcPr>
          <w:p w14:paraId="198AB1DF"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0.08983505</w:t>
            </w:r>
          </w:p>
        </w:tc>
        <w:tc>
          <w:tcPr>
            <w:tcW w:w="0" w:type="auto"/>
            <w:tcBorders>
              <w:top w:val="single" w:sz="0" w:space="0" w:color="D3D3D3"/>
              <w:left w:val="single" w:sz="0" w:space="0" w:color="D3D3D3"/>
              <w:bottom w:val="single" w:sz="0" w:space="0" w:color="D3D3D3"/>
              <w:right w:val="single" w:sz="0" w:space="0" w:color="D3D3D3"/>
            </w:tcBorders>
          </w:tcPr>
          <w:p w14:paraId="78D6893B"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0.09710983</w:t>
            </w:r>
          </w:p>
        </w:tc>
      </w:tr>
      <w:tr w:rsidR="00CB318D" w:rsidRPr="00CB318D" w14:paraId="47B93D69" w14:textId="77777777">
        <w:trPr>
          <w:cantSplit/>
          <w:jc w:val="center"/>
        </w:trPr>
        <w:tc>
          <w:tcPr>
            <w:tcW w:w="0" w:type="auto"/>
            <w:gridSpan w:val="5"/>
          </w:tcPr>
          <w:p w14:paraId="29FF71B0" w14:textId="77777777" w:rsidR="00935D9A" w:rsidRPr="00CB318D" w:rsidRDefault="0054436F">
            <w:pPr>
              <w:keepNext/>
              <w:spacing w:after="60"/>
              <w:rPr>
                <w:color w:val="000000" w:themeColor="text1"/>
              </w:rPr>
            </w:pPr>
            <w:r w:rsidRPr="00CB318D">
              <w:rPr>
                <w:rFonts w:ascii="Calibri" w:hAnsi="Calibri"/>
                <w:color w:val="000000" w:themeColor="text1"/>
                <w:sz w:val="20"/>
              </w:rPr>
              <w:t>log-likelihood = -23122.7203191803</w:t>
            </w:r>
          </w:p>
        </w:tc>
      </w:tr>
      <w:tr w:rsidR="00CB318D" w:rsidRPr="00CB318D" w14:paraId="48A555C9" w14:textId="77777777">
        <w:trPr>
          <w:cantSplit/>
          <w:jc w:val="center"/>
        </w:trPr>
        <w:tc>
          <w:tcPr>
            <w:tcW w:w="0" w:type="auto"/>
            <w:gridSpan w:val="5"/>
          </w:tcPr>
          <w:p w14:paraId="2875C222" w14:textId="77777777" w:rsidR="00935D9A" w:rsidRPr="00CB318D" w:rsidRDefault="0054436F">
            <w:pPr>
              <w:keepNext/>
              <w:spacing w:after="60"/>
              <w:rPr>
                <w:color w:val="000000" w:themeColor="text1"/>
              </w:rPr>
            </w:pPr>
            <w:r w:rsidRPr="00CB318D">
              <w:rPr>
                <w:rFonts w:ascii="Calibri" w:hAnsi="Calibri"/>
                <w:color w:val="000000" w:themeColor="text1"/>
                <w:sz w:val="20"/>
              </w:rPr>
              <w:t>AIC = 46249.4406383606</w:t>
            </w:r>
          </w:p>
        </w:tc>
      </w:tr>
      <w:tr w:rsidR="00CB318D" w:rsidRPr="00CB318D" w14:paraId="61E7FF09" w14:textId="77777777">
        <w:trPr>
          <w:cantSplit/>
          <w:jc w:val="center"/>
        </w:trPr>
        <w:tc>
          <w:tcPr>
            <w:tcW w:w="0" w:type="auto"/>
            <w:gridSpan w:val="5"/>
          </w:tcPr>
          <w:p w14:paraId="09D8EC25" w14:textId="77777777" w:rsidR="00935D9A" w:rsidRPr="00CB318D" w:rsidRDefault="0054436F">
            <w:pPr>
              <w:keepNext/>
              <w:spacing w:after="60"/>
              <w:rPr>
                <w:color w:val="000000" w:themeColor="text1"/>
              </w:rPr>
            </w:pPr>
            <w:r w:rsidRPr="00CB318D">
              <w:rPr>
                <w:rFonts w:ascii="Calibri" w:hAnsi="Calibri"/>
                <w:color w:val="000000" w:themeColor="text1"/>
                <w:sz w:val="20"/>
              </w:rPr>
              <w:t>BIC = 46263.1715440121</w:t>
            </w:r>
          </w:p>
        </w:tc>
      </w:tr>
    </w:tbl>
    <w:tbl>
      <w:tblPr>
        <w:tblStyle w:val="Table"/>
        <w:tblW w:w="5000" w:type="pct"/>
        <w:tblLayout w:type="fixed"/>
        <w:tblLook w:val="0000" w:firstRow="0" w:lastRow="0" w:firstColumn="0" w:lastColumn="0" w:noHBand="0" w:noVBand="0"/>
      </w:tblPr>
      <w:tblGrid>
        <w:gridCol w:w="9360"/>
      </w:tblGrid>
      <w:tr w:rsidR="00CB318D" w:rsidRPr="00CB318D" w14:paraId="2219144A" w14:textId="77777777">
        <w:tc>
          <w:tcPr>
            <w:tcW w:w="7920" w:type="dxa"/>
          </w:tcPr>
          <w:p w14:paraId="1C2FF3EF" w14:textId="77777777" w:rsidR="00935D9A" w:rsidRPr="00CB318D" w:rsidRDefault="0054436F">
            <w:pPr>
              <w:pStyle w:val="ImageCaption"/>
              <w:spacing w:before="200"/>
              <w:rPr>
                <w:color w:val="000000" w:themeColor="text1"/>
              </w:rPr>
            </w:pPr>
            <w:bookmarkStart w:id="36" w:name="tbl-km-gamma-ch1"/>
            <w:r w:rsidRPr="00CB318D">
              <w:rPr>
                <w:color w:val="000000" w:themeColor="text1"/>
              </w:rPr>
              <w:t>Table 8: Survival model fit summary (gamma distribution)</w:t>
            </w:r>
          </w:p>
          <w:bookmarkEnd w:id="36"/>
          <w:p w14:paraId="2C1AFAED" w14:textId="77777777" w:rsidR="00935D9A" w:rsidRPr="00CB318D" w:rsidRDefault="00935D9A">
            <w:pPr>
              <w:rPr>
                <w:color w:val="000000" w:themeColor="text1"/>
              </w:rPr>
            </w:pPr>
          </w:p>
        </w:tc>
      </w:tr>
    </w:tbl>
    <w:p w14:paraId="372C2B95" w14:textId="77777777" w:rsidR="00935D9A" w:rsidRPr="00CB318D" w:rsidRDefault="0054436F">
      <w:pPr>
        <w:rPr>
          <w:color w:val="000000" w:themeColor="text1"/>
        </w:rPr>
      </w:pPr>
      <w:r w:rsidRPr="00CB318D">
        <w:rPr>
          <w:color w:val="000000" w:themeColor="text1"/>
        </w:rPr>
        <w:br w:type="page"/>
      </w:r>
    </w:p>
    <w:p w14:paraId="3490BEA8" w14:textId="77777777" w:rsidR="00935D9A" w:rsidRPr="00CB318D" w:rsidRDefault="0054436F">
      <w:pPr>
        <w:pStyle w:val="Heading4"/>
        <w:rPr>
          <w:color w:val="000000" w:themeColor="text1"/>
        </w:rPr>
      </w:pPr>
      <w:bookmarkStart w:id="37" w:name="generalised-gamma"/>
      <w:bookmarkEnd w:id="34"/>
      <w:r w:rsidRPr="00CB318D">
        <w:rPr>
          <w:color w:val="000000" w:themeColor="text1"/>
        </w:rPr>
        <w:lastRenderedPageBreak/>
        <w:t>Generalised gamma</w:t>
      </w:r>
    </w:p>
    <w:tbl>
      <w:tblPr>
        <w:tblStyle w:val="Table"/>
        <w:tblW w:w="5000" w:type="pct"/>
        <w:tblLayout w:type="fixed"/>
        <w:tblLook w:val="0020" w:firstRow="1" w:lastRow="0" w:firstColumn="0" w:lastColumn="0" w:noHBand="0" w:noVBand="0"/>
      </w:tblPr>
      <w:tblGrid>
        <w:gridCol w:w="9360"/>
      </w:tblGrid>
      <w:tr w:rsidR="00CB318D" w:rsidRPr="00CB318D" w14:paraId="179B25B8" w14:textId="77777777" w:rsidTr="00215699">
        <w:trPr>
          <w:cnfStyle w:val="100000000000" w:firstRow="1" w:lastRow="0" w:firstColumn="0" w:lastColumn="0" w:oddVBand="0" w:evenVBand="0" w:oddHBand="0" w:evenHBand="0" w:firstRowFirstColumn="0" w:firstRowLastColumn="0" w:lastRowFirstColumn="0" w:lastRowLastColumn="0"/>
        </w:trPr>
        <w:tc>
          <w:tcPr>
            <w:tcW w:w="7920" w:type="dxa"/>
          </w:tcPr>
          <w:p w14:paraId="2FEF1078" w14:textId="1EDFF1FA" w:rsidR="00935D9A" w:rsidRPr="00CB318D" w:rsidRDefault="0054436F">
            <w:pPr>
              <w:pStyle w:val="ImageCaption"/>
              <w:spacing w:before="200"/>
              <w:rPr>
                <w:color w:val="000000" w:themeColor="text1"/>
              </w:rPr>
            </w:pPr>
            <w:bookmarkStart w:id="38" w:name="fig-km-gengamma-ch1"/>
            <w:r w:rsidRPr="00CB318D">
              <w:rPr>
                <w:color w:val="000000" w:themeColor="text1"/>
              </w:rPr>
              <w:t>Figure </w:t>
            </w:r>
            <w:r w:rsidR="00291865" w:rsidRPr="00CB318D">
              <w:rPr>
                <w:color w:val="000000" w:themeColor="text1"/>
              </w:rPr>
              <w:t>10</w:t>
            </w:r>
            <w:r w:rsidRPr="00CB318D">
              <w:rPr>
                <w:color w:val="000000" w:themeColor="text1"/>
              </w:rPr>
              <w:t>: Overall survival against generalised gamma survival function</w:t>
            </w:r>
          </w:p>
          <w:p w14:paraId="0157927B" w14:textId="77777777" w:rsidR="00935D9A" w:rsidRPr="00CB318D" w:rsidRDefault="0054436F">
            <w:pPr>
              <w:pStyle w:val="Compact"/>
              <w:jc w:val="center"/>
              <w:rPr>
                <w:color w:val="000000" w:themeColor="text1"/>
              </w:rPr>
            </w:pPr>
            <w:r w:rsidRPr="00CB318D">
              <w:rPr>
                <w:noProof/>
                <w:color w:val="000000" w:themeColor="text1"/>
              </w:rPr>
              <w:drawing>
                <wp:inline distT="0" distB="0" distL="0" distR="0" wp14:anchorId="09AC25E9" wp14:editId="2C372394">
                  <wp:extent cx="5943600" cy="3657600"/>
                  <wp:effectExtent l="0" t="0" r="0" b="0"/>
                  <wp:docPr id="84" name="Picture" title="A Kaplan-Meier plot showing overall survival over time for individuals who have received PLD or paclitaxel monotherapy, with an overlaid generalised gamma model fit."/>
                  <wp:cNvGraphicFramePr/>
                  <a:graphic xmlns:a="http://schemas.openxmlformats.org/drawingml/2006/main">
                    <a:graphicData uri="http://schemas.openxmlformats.org/drawingml/2006/picture">
                      <pic:pic xmlns:pic="http://schemas.openxmlformats.org/drawingml/2006/picture">
                        <pic:nvPicPr>
                          <pic:cNvPr id="85" name="Picture" descr="ID6442_MS_for_OFP_cancers_updated_death_rjw_files/figure-docx/fig-km-gengamma-ch1-1.png"/>
                          <pic:cNvPicPr>
                            <a:picLocks noChangeAspect="1" noChangeArrowheads="1"/>
                          </pic:cNvPicPr>
                        </pic:nvPicPr>
                        <pic:blipFill>
                          <a:blip r:embed="rId19"/>
                          <a:stretch>
                            <a:fillRect/>
                          </a:stretch>
                        </pic:blipFill>
                        <pic:spPr bwMode="auto">
                          <a:xfrm>
                            <a:off x="0" y="0"/>
                            <a:ext cx="5943600" cy="3657600"/>
                          </a:xfrm>
                          <a:prstGeom prst="rect">
                            <a:avLst/>
                          </a:prstGeom>
                          <a:noFill/>
                          <a:ln w="9525">
                            <a:noFill/>
                            <a:headEnd/>
                            <a:tailEnd/>
                          </a:ln>
                        </pic:spPr>
                      </pic:pic>
                    </a:graphicData>
                  </a:graphic>
                </wp:inline>
              </w:drawing>
            </w:r>
          </w:p>
        </w:tc>
        <w:bookmarkEnd w:id="38"/>
      </w:tr>
    </w:tbl>
    <w:p w14:paraId="3602BDB1" w14:textId="77777777" w:rsidR="00935D9A" w:rsidRPr="00CB318D" w:rsidRDefault="00935D9A">
      <w:pPr>
        <w:pStyle w:val="BodyText"/>
        <w:rPr>
          <w:color w:val="000000" w:themeColor="text1"/>
        </w:rPr>
      </w:pPr>
    </w:p>
    <w:tbl>
      <w:tblPr>
        <w:tblW w:w="0" w:type="auto"/>
        <w:jc w:val="center"/>
        <w:tblCellMar>
          <w:left w:w="60" w:type="dxa"/>
          <w:right w:w="60" w:type="dxa"/>
        </w:tblCellMar>
        <w:tblLook w:val="0000" w:firstRow="0" w:lastRow="0" w:firstColumn="0" w:lastColumn="0" w:noHBand="0" w:noVBand="0"/>
      </w:tblPr>
      <w:tblGrid>
        <w:gridCol w:w="981"/>
        <w:gridCol w:w="831"/>
        <w:gridCol w:w="892"/>
        <w:gridCol w:w="982"/>
        <w:gridCol w:w="982"/>
      </w:tblGrid>
      <w:tr w:rsidR="00CB318D" w:rsidRPr="00CB318D" w14:paraId="0728E636" w14:textId="77777777">
        <w:trPr>
          <w:cantSplit/>
          <w:tblHeader/>
          <w:jc w:val="center"/>
        </w:trPr>
        <w:tc>
          <w:tcPr>
            <w:tcW w:w="0" w:type="auto"/>
            <w:tcBorders>
              <w:top w:val="single" w:sz="16" w:space="0" w:color="D3D3D3"/>
              <w:left w:val="single" w:sz="0" w:space="0" w:color="D3D3D3"/>
              <w:bottom w:val="single" w:sz="16" w:space="0" w:color="D3D3D3"/>
            </w:tcBorders>
          </w:tcPr>
          <w:p w14:paraId="2233F6F9" w14:textId="77777777" w:rsidR="00935D9A" w:rsidRPr="00CB318D" w:rsidRDefault="0054436F">
            <w:pPr>
              <w:keepNext/>
              <w:spacing w:after="60"/>
              <w:rPr>
                <w:color w:val="000000" w:themeColor="text1"/>
              </w:rPr>
            </w:pPr>
            <w:r w:rsidRPr="00CB318D">
              <w:rPr>
                <w:rFonts w:ascii="Calibri" w:hAnsi="Calibri"/>
                <w:color w:val="000000" w:themeColor="text1"/>
                <w:sz w:val="20"/>
              </w:rPr>
              <w:t>Parameter</w:t>
            </w:r>
          </w:p>
        </w:tc>
        <w:tc>
          <w:tcPr>
            <w:tcW w:w="0" w:type="auto"/>
            <w:tcBorders>
              <w:top w:val="single" w:sz="16" w:space="0" w:color="D3D3D3"/>
              <w:bottom w:val="single" w:sz="16" w:space="0" w:color="D3D3D3"/>
            </w:tcBorders>
          </w:tcPr>
          <w:p w14:paraId="3E966B26"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Estimate</w:t>
            </w:r>
          </w:p>
        </w:tc>
        <w:tc>
          <w:tcPr>
            <w:tcW w:w="0" w:type="auto"/>
            <w:tcBorders>
              <w:top w:val="single" w:sz="16" w:space="0" w:color="D3D3D3"/>
              <w:bottom w:val="single" w:sz="16" w:space="0" w:color="D3D3D3"/>
            </w:tcBorders>
          </w:tcPr>
          <w:p w14:paraId="2B996F97"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Std. Error</w:t>
            </w:r>
          </w:p>
        </w:tc>
        <w:tc>
          <w:tcPr>
            <w:tcW w:w="0" w:type="auto"/>
            <w:tcBorders>
              <w:top w:val="single" w:sz="16" w:space="0" w:color="D3D3D3"/>
              <w:bottom w:val="single" w:sz="16" w:space="0" w:color="D3D3D3"/>
            </w:tcBorders>
          </w:tcPr>
          <w:p w14:paraId="385AC514"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L95.</w:t>
            </w:r>
          </w:p>
        </w:tc>
        <w:tc>
          <w:tcPr>
            <w:tcW w:w="0" w:type="auto"/>
            <w:tcBorders>
              <w:top w:val="single" w:sz="16" w:space="0" w:color="D3D3D3"/>
              <w:bottom w:val="single" w:sz="16" w:space="0" w:color="D3D3D3"/>
              <w:right w:val="single" w:sz="0" w:space="0" w:color="D3D3D3"/>
            </w:tcBorders>
          </w:tcPr>
          <w:p w14:paraId="0D476636"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U95.</w:t>
            </w:r>
          </w:p>
        </w:tc>
      </w:tr>
      <w:tr w:rsidR="00CB318D" w:rsidRPr="00CB318D" w14:paraId="0A218083"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471448C2" w14:textId="77777777" w:rsidR="00935D9A" w:rsidRPr="00CB318D" w:rsidRDefault="0054436F">
            <w:pPr>
              <w:keepNext/>
              <w:spacing w:after="60"/>
              <w:rPr>
                <w:color w:val="000000" w:themeColor="text1"/>
              </w:rPr>
            </w:pPr>
            <w:r w:rsidRPr="00CB318D">
              <w:rPr>
                <w:rFonts w:ascii="Calibri" w:hAnsi="Calibri"/>
                <w:color w:val="000000" w:themeColor="text1"/>
                <w:sz w:val="20"/>
              </w:rPr>
              <w:t>mu</w:t>
            </w:r>
          </w:p>
        </w:tc>
        <w:tc>
          <w:tcPr>
            <w:tcW w:w="0" w:type="auto"/>
            <w:tcBorders>
              <w:top w:val="single" w:sz="0" w:space="0" w:color="D3D3D3"/>
              <w:left w:val="single" w:sz="0" w:space="0" w:color="D3D3D3"/>
              <w:bottom w:val="single" w:sz="0" w:space="0" w:color="D3D3D3"/>
              <w:right w:val="single" w:sz="0" w:space="0" w:color="D3D3D3"/>
            </w:tcBorders>
          </w:tcPr>
          <w:p w14:paraId="70381B95"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2.210</w:t>
            </w:r>
          </w:p>
        </w:tc>
        <w:tc>
          <w:tcPr>
            <w:tcW w:w="0" w:type="auto"/>
            <w:tcBorders>
              <w:top w:val="single" w:sz="0" w:space="0" w:color="D3D3D3"/>
              <w:left w:val="single" w:sz="0" w:space="0" w:color="D3D3D3"/>
              <w:bottom w:val="single" w:sz="0" w:space="0" w:color="D3D3D3"/>
              <w:right w:val="single" w:sz="0" w:space="0" w:color="D3D3D3"/>
            </w:tcBorders>
          </w:tcPr>
          <w:p w14:paraId="33870C8E"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0.019</w:t>
            </w:r>
          </w:p>
        </w:tc>
        <w:tc>
          <w:tcPr>
            <w:tcW w:w="0" w:type="auto"/>
            <w:tcBorders>
              <w:top w:val="single" w:sz="0" w:space="0" w:color="D3D3D3"/>
              <w:left w:val="single" w:sz="0" w:space="0" w:color="D3D3D3"/>
              <w:bottom w:val="single" w:sz="0" w:space="0" w:color="D3D3D3"/>
              <w:right w:val="single" w:sz="0" w:space="0" w:color="D3D3D3"/>
            </w:tcBorders>
          </w:tcPr>
          <w:p w14:paraId="5EF96CF0"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2.1720048</w:t>
            </w:r>
          </w:p>
        </w:tc>
        <w:tc>
          <w:tcPr>
            <w:tcW w:w="0" w:type="auto"/>
            <w:tcBorders>
              <w:top w:val="single" w:sz="0" w:space="0" w:color="D3D3D3"/>
              <w:left w:val="single" w:sz="0" w:space="0" w:color="D3D3D3"/>
              <w:bottom w:val="single" w:sz="0" w:space="0" w:color="D3D3D3"/>
              <w:right w:val="single" w:sz="0" w:space="0" w:color="D3D3D3"/>
            </w:tcBorders>
          </w:tcPr>
          <w:p w14:paraId="21D52CB9"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2.2476539</w:t>
            </w:r>
          </w:p>
        </w:tc>
      </w:tr>
      <w:tr w:rsidR="00CB318D" w:rsidRPr="00CB318D" w14:paraId="6562F63B"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424BEA1F" w14:textId="77777777" w:rsidR="00935D9A" w:rsidRPr="00CB318D" w:rsidRDefault="0054436F">
            <w:pPr>
              <w:keepNext/>
              <w:spacing w:after="60"/>
              <w:rPr>
                <w:color w:val="000000" w:themeColor="text1"/>
              </w:rPr>
            </w:pPr>
            <w:r w:rsidRPr="00CB318D">
              <w:rPr>
                <w:rFonts w:ascii="Calibri" w:hAnsi="Calibri"/>
                <w:color w:val="000000" w:themeColor="text1"/>
                <w:sz w:val="20"/>
              </w:rPr>
              <w:t>sigma</w:t>
            </w:r>
          </w:p>
        </w:tc>
        <w:tc>
          <w:tcPr>
            <w:tcW w:w="0" w:type="auto"/>
            <w:tcBorders>
              <w:top w:val="single" w:sz="0" w:space="0" w:color="D3D3D3"/>
              <w:left w:val="single" w:sz="0" w:space="0" w:color="D3D3D3"/>
              <w:bottom w:val="single" w:sz="0" w:space="0" w:color="D3D3D3"/>
              <w:right w:val="single" w:sz="0" w:space="0" w:color="D3D3D3"/>
            </w:tcBorders>
          </w:tcPr>
          <w:p w14:paraId="75617A81"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1.024</w:t>
            </w:r>
          </w:p>
        </w:tc>
        <w:tc>
          <w:tcPr>
            <w:tcW w:w="0" w:type="auto"/>
            <w:tcBorders>
              <w:top w:val="single" w:sz="0" w:space="0" w:color="D3D3D3"/>
              <w:left w:val="single" w:sz="0" w:space="0" w:color="D3D3D3"/>
              <w:bottom w:val="single" w:sz="0" w:space="0" w:color="D3D3D3"/>
              <w:right w:val="single" w:sz="0" w:space="0" w:color="D3D3D3"/>
            </w:tcBorders>
          </w:tcPr>
          <w:p w14:paraId="37A59F80"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0.010</w:t>
            </w:r>
          </w:p>
        </w:tc>
        <w:tc>
          <w:tcPr>
            <w:tcW w:w="0" w:type="auto"/>
            <w:tcBorders>
              <w:top w:val="single" w:sz="0" w:space="0" w:color="D3D3D3"/>
              <w:left w:val="single" w:sz="0" w:space="0" w:color="D3D3D3"/>
              <w:bottom w:val="single" w:sz="0" w:space="0" w:color="D3D3D3"/>
              <w:right w:val="single" w:sz="0" w:space="0" w:color="D3D3D3"/>
            </w:tcBorders>
          </w:tcPr>
          <w:p w14:paraId="67E4B60F"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1.0050202</w:t>
            </w:r>
          </w:p>
        </w:tc>
        <w:tc>
          <w:tcPr>
            <w:tcW w:w="0" w:type="auto"/>
            <w:tcBorders>
              <w:top w:val="single" w:sz="0" w:space="0" w:color="D3D3D3"/>
              <w:left w:val="single" w:sz="0" w:space="0" w:color="D3D3D3"/>
              <w:bottom w:val="single" w:sz="0" w:space="0" w:color="D3D3D3"/>
              <w:right w:val="single" w:sz="0" w:space="0" w:color="D3D3D3"/>
            </w:tcBorders>
          </w:tcPr>
          <w:p w14:paraId="4C293F01"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1.0431913</w:t>
            </w:r>
          </w:p>
        </w:tc>
      </w:tr>
      <w:tr w:rsidR="00CB318D" w:rsidRPr="00CB318D" w14:paraId="03B01F8F"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08D32B7" w14:textId="77777777" w:rsidR="00935D9A" w:rsidRPr="00CB318D" w:rsidRDefault="0054436F">
            <w:pPr>
              <w:keepNext/>
              <w:spacing w:after="60"/>
              <w:rPr>
                <w:color w:val="000000" w:themeColor="text1"/>
              </w:rPr>
            </w:pPr>
            <w:r w:rsidRPr="00CB318D">
              <w:rPr>
                <w:rFonts w:ascii="Calibri" w:hAnsi="Calibri"/>
                <w:color w:val="000000" w:themeColor="text1"/>
                <w:sz w:val="20"/>
              </w:rPr>
              <w:t>Q</w:t>
            </w:r>
          </w:p>
        </w:tc>
        <w:tc>
          <w:tcPr>
            <w:tcW w:w="0" w:type="auto"/>
            <w:tcBorders>
              <w:top w:val="single" w:sz="0" w:space="0" w:color="D3D3D3"/>
              <w:left w:val="single" w:sz="0" w:space="0" w:color="D3D3D3"/>
              <w:bottom w:val="single" w:sz="0" w:space="0" w:color="D3D3D3"/>
              <w:right w:val="single" w:sz="0" w:space="0" w:color="D3D3D3"/>
            </w:tcBorders>
          </w:tcPr>
          <w:p w14:paraId="63DF64EE"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0.236</w:t>
            </w:r>
          </w:p>
        </w:tc>
        <w:tc>
          <w:tcPr>
            <w:tcW w:w="0" w:type="auto"/>
            <w:tcBorders>
              <w:top w:val="single" w:sz="0" w:space="0" w:color="D3D3D3"/>
              <w:left w:val="single" w:sz="0" w:space="0" w:color="D3D3D3"/>
              <w:bottom w:val="single" w:sz="0" w:space="0" w:color="D3D3D3"/>
              <w:right w:val="single" w:sz="0" w:space="0" w:color="D3D3D3"/>
            </w:tcBorders>
          </w:tcPr>
          <w:p w14:paraId="0C2FDF1F"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0.030</w:t>
            </w:r>
          </w:p>
        </w:tc>
        <w:tc>
          <w:tcPr>
            <w:tcW w:w="0" w:type="auto"/>
            <w:tcBorders>
              <w:top w:val="single" w:sz="0" w:space="0" w:color="D3D3D3"/>
              <w:left w:val="single" w:sz="0" w:space="0" w:color="D3D3D3"/>
              <w:bottom w:val="single" w:sz="0" w:space="0" w:color="D3D3D3"/>
              <w:right w:val="single" w:sz="0" w:space="0" w:color="D3D3D3"/>
            </w:tcBorders>
          </w:tcPr>
          <w:p w14:paraId="238F67E1"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0.1765289</w:t>
            </w:r>
          </w:p>
        </w:tc>
        <w:tc>
          <w:tcPr>
            <w:tcW w:w="0" w:type="auto"/>
            <w:tcBorders>
              <w:top w:val="single" w:sz="0" w:space="0" w:color="D3D3D3"/>
              <w:left w:val="single" w:sz="0" w:space="0" w:color="D3D3D3"/>
              <w:bottom w:val="single" w:sz="0" w:space="0" w:color="D3D3D3"/>
              <w:right w:val="single" w:sz="0" w:space="0" w:color="D3D3D3"/>
            </w:tcBorders>
          </w:tcPr>
          <w:p w14:paraId="4F90DE61"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0.2947225</w:t>
            </w:r>
          </w:p>
        </w:tc>
      </w:tr>
      <w:tr w:rsidR="00CB318D" w:rsidRPr="00CB318D" w14:paraId="162F88C7" w14:textId="77777777">
        <w:trPr>
          <w:cantSplit/>
          <w:jc w:val="center"/>
        </w:trPr>
        <w:tc>
          <w:tcPr>
            <w:tcW w:w="0" w:type="auto"/>
            <w:gridSpan w:val="5"/>
          </w:tcPr>
          <w:p w14:paraId="16B76F24" w14:textId="77777777" w:rsidR="00935D9A" w:rsidRPr="00CB318D" w:rsidRDefault="0054436F">
            <w:pPr>
              <w:keepNext/>
              <w:spacing w:after="60"/>
              <w:rPr>
                <w:color w:val="000000" w:themeColor="text1"/>
              </w:rPr>
            </w:pPr>
            <w:r w:rsidRPr="00CB318D">
              <w:rPr>
                <w:rFonts w:ascii="Calibri" w:hAnsi="Calibri"/>
                <w:color w:val="000000" w:themeColor="text1"/>
                <w:sz w:val="20"/>
              </w:rPr>
              <w:t>log-likelihood = -22864.4557531161</w:t>
            </w:r>
          </w:p>
        </w:tc>
      </w:tr>
      <w:tr w:rsidR="00CB318D" w:rsidRPr="00CB318D" w14:paraId="47AF26B9" w14:textId="77777777">
        <w:trPr>
          <w:cantSplit/>
          <w:jc w:val="center"/>
        </w:trPr>
        <w:tc>
          <w:tcPr>
            <w:tcW w:w="0" w:type="auto"/>
            <w:gridSpan w:val="5"/>
          </w:tcPr>
          <w:p w14:paraId="389F05D2" w14:textId="77777777" w:rsidR="00935D9A" w:rsidRPr="00CB318D" w:rsidRDefault="0054436F">
            <w:pPr>
              <w:keepNext/>
              <w:spacing w:after="60"/>
              <w:rPr>
                <w:color w:val="000000" w:themeColor="text1"/>
              </w:rPr>
            </w:pPr>
            <w:r w:rsidRPr="00CB318D">
              <w:rPr>
                <w:rFonts w:ascii="Calibri" w:hAnsi="Calibri"/>
                <w:color w:val="000000" w:themeColor="text1"/>
                <w:sz w:val="20"/>
              </w:rPr>
              <w:t>AIC = 45734.9115062322</w:t>
            </w:r>
          </w:p>
        </w:tc>
      </w:tr>
      <w:tr w:rsidR="00CB318D" w:rsidRPr="00CB318D" w14:paraId="73195988" w14:textId="77777777">
        <w:trPr>
          <w:cantSplit/>
          <w:jc w:val="center"/>
        </w:trPr>
        <w:tc>
          <w:tcPr>
            <w:tcW w:w="0" w:type="auto"/>
            <w:gridSpan w:val="5"/>
          </w:tcPr>
          <w:p w14:paraId="256D7474" w14:textId="77777777" w:rsidR="00935D9A" w:rsidRPr="00CB318D" w:rsidRDefault="0054436F">
            <w:pPr>
              <w:keepNext/>
              <w:spacing w:after="60"/>
              <w:rPr>
                <w:color w:val="000000" w:themeColor="text1"/>
              </w:rPr>
            </w:pPr>
            <w:r w:rsidRPr="00CB318D">
              <w:rPr>
                <w:rFonts w:ascii="Calibri" w:hAnsi="Calibri"/>
                <w:color w:val="000000" w:themeColor="text1"/>
                <w:sz w:val="20"/>
              </w:rPr>
              <w:t>BIC = 45755.5078647095</w:t>
            </w:r>
          </w:p>
        </w:tc>
      </w:tr>
    </w:tbl>
    <w:tbl>
      <w:tblPr>
        <w:tblStyle w:val="Table"/>
        <w:tblW w:w="5000" w:type="pct"/>
        <w:tblLayout w:type="fixed"/>
        <w:tblLook w:val="0000" w:firstRow="0" w:lastRow="0" w:firstColumn="0" w:lastColumn="0" w:noHBand="0" w:noVBand="0"/>
      </w:tblPr>
      <w:tblGrid>
        <w:gridCol w:w="9360"/>
      </w:tblGrid>
      <w:tr w:rsidR="00CB318D" w:rsidRPr="00CB318D" w14:paraId="3395AA6C" w14:textId="77777777">
        <w:tc>
          <w:tcPr>
            <w:tcW w:w="7920" w:type="dxa"/>
          </w:tcPr>
          <w:p w14:paraId="2E8CBCFB" w14:textId="77777777" w:rsidR="00935D9A" w:rsidRPr="00CB318D" w:rsidRDefault="0054436F">
            <w:pPr>
              <w:pStyle w:val="ImageCaption"/>
              <w:spacing w:before="200"/>
              <w:rPr>
                <w:color w:val="000000" w:themeColor="text1"/>
              </w:rPr>
            </w:pPr>
            <w:bookmarkStart w:id="39" w:name="tbl-km-gengamma-ch1"/>
            <w:r w:rsidRPr="00CB318D">
              <w:rPr>
                <w:color w:val="000000" w:themeColor="text1"/>
              </w:rPr>
              <w:t>Table 9: Survival model fit summary (generalised gamma distribution)</w:t>
            </w:r>
          </w:p>
          <w:bookmarkEnd w:id="39"/>
          <w:p w14:paraId="18814DE3" w14:textId="77777777" w:rsidR="00935D9A" w:rsidRPr="00CB318D" w:rsidRDefault="00935D9A">
            <w:pPr>
              <w:rPr>
                <w:color w:val="000000" w:themeColor="text1"/>
              </w:rPr>
            </w:pPr>
          </w:p>
        </w:tc>
      </w:tr>
    </w:tbl>
    <w:p w14:paraId="0FB7CA7A" w14:textId="77777777" w:rsidR="00935D9A" w:rsidRPr="00CB318D" w:rsidRDefault="0054436F">
      <w:pPr>
        <w:rPr>
          <w:color w:val="000000" w:themeColor="text1"/>
        </w:rPr>
      </w:pPr>
      <w:r w:rsidRPr="00CB318D">
        <w:rPr>
          <w:color w:val="000000" w:themeColor="text1"/>
        </w:rPr>
        <w:br w:type="page"/>
      </w:r>
    </w:p>
    <w:p w14:paraId="18DF6A9D" w14:textId="77777777" w:rsidR="00935D9A" w:rsidRPr="00CB318D" w:rsidRDefault="0054436F">
      <w:pPr>
        <w:pStyle w:val="Heading4"/>
        <w:rPr>
          <w:color w:val="000000" w:themeColor="text1"/>
        </w:rPr>
      </w:pPr>
      <w:bookmarkStart w:id="40" w:name="gompertz"/>
      <w:bookmarkEnd w:id="37"/>
      <w:r w:rsidRPr="00CB318D">
        <w:rPr>
          <w:color w:val="000000" w:themeColor="text1"/>
        </w:rPr>
        <w:lastRenderedPageBreak/>
        <w:t>Gompertz</w:t>
      </w:r>
    </w:p>
    <w:tbl>
      <w:tblPr>
        <w:tblStyle w:val="Table"/>
        <w:tblW w:w="5000" w:type="pct"/>
        <w:tblLayout w:type="fixed"/>
        <w:tblLook w:val="0020" w:firstRow="1" w:lastRow="0" w:firstColumn="0" w:lastColumn="0" w:noHBand="0" w:noVBand="0"/>
      </w:tblPr>
      <w:tblGrid>
        <w:gridCol w:w="9360"/>
      </w:tblGrid>
      <w:tr w:rsidR="00CB318D" w:rsidRPr="00CB318D" w14:paraId="66EF0341" w14:textId="77777777" w:rsidTr="00215699">
        <w:trPr>
          <w:cnfStyle w:val="100000000000" w:firstRow="1" w:lastRow="0" w:firstColumn="0" w:lastColumn="0" w:oddVBand="0" w:evenVBand="0" w:oddHBand="0" w:evenHBand="0" w:firstRowFirstColumn="0" w:firstRowLastColumn="0" w:lastRowFirstColumn="0" w:lastRowLastColumn="0"/>
        </w:trPr>
        <w:tc>
          <w:tcPr>
            <w:tcW w:w="7920" w:type="dxa"/>
          </w:tcPr>
          <w:p w14:paraId="4E09B6AA" w14:textId="55031A18" w:rsidR="00935D9A" w:rsidRPr="00CB318D" w:rsidRDefault="0054436F">
            <w:pPr>
              <w:pStyle w:val="ImageCaption"/>
              <w:spacing w:before="200"/>
              <w:rPr>
                <w:color w:val="000000" w:themeColor="text1"/>
              </w:rPr>
            </w:pPr>
            <w:bookmarkStart w:id="41" w:name="fig-km-gompertz-ch1"/>
            <w:r w:rsidRPr="00CB318D">
              <w:rPr>
                <w:color w:val="000000" w:themeColor="text1"/>
              </w:rPr>
              <w:t>Figure 1</w:t>
            </w:r>
            <w:r w:rsidR="00291865" w:rsidRPr="00CB318D">
              <w:rPr>
                <w:color w:val="000000" w:themeColor="text1"/>
              </w:rPr>
              <w:t>1</w:t>
            </w:r>
            <w:r w:rsidRPr="00CB318D">
              <w:rPr>
                <w:color w:val="000000" w:themeColor="text1"/>
              </w:rPr>
              <w:t>: Overall survival against Gompertz survival function</w:t>
            </w:r>
          </w:p>
          <w:p w14:paraId="65B18959" w14:textId="77777777" w:rsidR="00935D9A" w:rsidRPr="00CB318D" w:rsidRDefault="0054436F">
            <w:pPr>
              <w:pStyle w:val="Compact"/>
              <w:jc w:val="center"/>
              <w:rPr>
                <w:color w:val="000000" w:themeColor="text1"/>
              </w:rPr>
            </w:pPr>
            <w:r w:rsidRPr="00CB318D">
              <w:rPr>
                <w:noProof/>
                <w:color w:val="000000" w:themeColor="text1"/>
              </w:rPr>
              <w:drawing>
                <wp:inline distT="0" distB="0" distL="0" distR="0" wp14:anchorId="5A5CA6A0" wp14:editId="2F713B5E">
                  <wp:extent cx="5943600" cy="3657600"/>
                  <wp:effectExtent l="0" t="0" r="0" b="0"/>
                  <wp:docPr id="90" name="Picture" title="A Kaplan-Meier plot showing overall survival over time for individuals who have received PLD or paclitaxel monotherapy, with an overlaid Gompertz model fit."/>
                  <wp:cNvGraphicFramePr/>
                  <a:graphic xmlns:a="http://schemas.openxmlformats.org/drawingml/2006/main">
                    <a:graphicData uri="http://schemas.openxmlformats.org/drawingml/2006/picture">
                      <pic:pic xmlns:pic="http://schemas.openxmlformats.org/drawingml/2006/picture">
                        <pic:nvPicPr>
                          <pic:cNvPr id="91" name="Picture" descr="ID6442_MS_for_OFP_cancers_updated_death_rjw_files/figure-docx/fig-km-gompertz-ch1-1.png"/>
                          <pic:cNvPicPr>
                            <a:picLocks noChangeAspect="1" noChangeArrowheads="1"/>
                          </pic:cNvPicPr>
                        </pic:nvPicPr>
                        <pic:blipFill>
                          <a:blip r:embed="rId20"/>
                          <a:stretch>
                            <a:fillRect/>
                          </a:stretch>
                        </pic:blipFill>
                        <pic:spPr bwMode="auto">
                          <a:xfrm>
                            <a:off x="0" y="0"/>
                            <a:ext cx="5943600" cy="3657600"/>
                          </a:xfrm>
                          <a:prstGeom prst="rect">
                            <a:avLst/>
                          </a:prstGeom>
                          <a:noFill/>
                          <a:ln w="9525">
                            <a:noFill/>
                            <a:headEnd/>
                            <a:tailEnd/>
                          </a:ln>
                        </pic:spPr>
                      </pic:pic>
                    </a:graphicData>
                  </a:graphic>
                </wp:inline>
              </w:drawing>
            </w:r>
          </w:p>
        </w:tc>
        <w:bookmarkEnd w:id="41"/>
      </w:tr>
    </w:tbl>
    <w:p w14:paraId="7A5CD257" w14:textId="77777777" w:rsidR="00935D9A" w:rsidRPr="00CB318D" w:rsidRDefault="00935D9A">
      <w:pPr>
        <w:pStyle w:val="BodyText"/>
        <w:rPr>
          <w:color w:val="000000" w:themeColor="text1"/>
        </w:rPr>
      </w:pPr>
    </w:p>
    <w:tbl>
      <w:tblPr>
        <w:tblW w:w="0" w:type="auto"/>
        <w:jc w:val="center"/>
        <w:tblCellMar>
          <w:left w:w="60" w:type="dxa"/>
          <w:right w:w="60" w:type="dxa"/>
        </w:tblCellMar>
        <w:tblLook w:val="0000" w:firstRow="0" w:lastRow="0" w:firstColumn="0" w:lastColumn="0" w:noHBand="0" w:noVBand="0"/>
      </w:tblPr>
      <w:tblGrid>
        <w:gridCol w:w="981"/>
        <w:gridCol w:w="831"/>
        <w:gridCol w:w="892"/>
        <w:gridCol w:w="1145"/>
        <w:gridCol w:w="1246"/>
      </w:tblGrid>
      <w:tr w:rsidR="00CB318D" w:rsidRPr="00CB318D" w14:paraId="5156B2ED" w14:textId="77777777">
        <w:trPr>
          <w:cantSplit/>
          <w:tblHeader/>
          <w:jc w:val="center"/>
        </w:trPr>
        <w:tc>
          <w:tcPr>
            <w:tcW w:w="0" w:type="auto"/>
            <w:tcBorders>
              <w:top w:val="single" w:sz="16" w:space="0" w:color="D3D3D3"/>
              <w:left w:val="single" w:sz="0" w:space="0" w:color="D3D3D3"/>
              <w:bottom w:val="single" w:sz="16" w:space="0" w:color="D3D3D3"/>
            </w:tcBorders>
          </w:tcPr>
          <w:p w14:paraId="55FE4BDD" w14:textId="77777777" w:rsidR="00935D9A" w:rsidRPr="00CB318D" w:rsidRDefault="0054436F">
            <w:pPr>
              <w:keepNext/>
              <w:spacing w:after="60"/>
              <w:rPr>
                <w:color w:val="000000" w:themeColor="text1"/>
              </w:rPr>
            </w:pPr>
            <w:r w:rsidRPr="00CB318D">
              <w:rPr>
                <w:rFonts w:ascii="Calibri" w:hAnsi="Calibri"/>
                <w:color w:val="000000" w:themeColor="text1"/>
                <w:sz w:val="20"/>
              </w:rPr>
              <w:t>Parameter</w:t>
            </w:r>
          </w:p>
        </w:tc>
        <w:tc>
          <w:tcPr>
            <w:tcW w:w="0" w:type="auto"/>
            <w:tcBorders>
              <w:top w:val="single" w:sz="16" w:space="0" w:color="D3D3D3"/>
              <w:bottom w:val="single" w:sz="16" w:space="0" w:color="D3D3D3"/>
            </w:tcBorders>
          </w:tcPr>
          <w:p w14:paraId="17B14BA8"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Estimate</w:t>
            </w:r>
          </w:p>
        </w:tc>
        <w:tc>
          <w:tcPr>
            <w:tcW w:w="0" w:type="auto"/>
            <w:tcBorders>
              <w:top w:val="single" w:sz="16" w:space="0" w:color="D3D3D3"/>
              <w:bottom w:val="single" w:sz="16" w:space="0" w:color="D3D3D3"/>
            </w:tcBorders>
          </w:tcPr>
          <w:p w14:paraId="07B034DE"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Std. Error</w:t>
            </w:r>
          </w:p>
        </w:tc>
        <w:tc>
          <w:tcPr>
            <w:tcW w:w="0" w:type="auto"/>
            <w:tcBorders>
              <w:top w:val="single" w:sz="16" w:space="0" w:color="D3D3D3"/>
              <w:bottom w:val="single" w:sz="16" w:space="0" w:color="D3D3D3"/>
            </w:tcBorders>
          </w:tcPr>
          <w:p w14:paraId="0DE8CB0B"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L95.</w:t>
            </w:r>
          </w:p>
        </w:tc>
        <w:tc>
          <w:tcPr>
            <w:tcW w:w="0" w:type="auto"/>
            <w:tcBorders>
              <w:top w:val="single" w:sz="16" w:space="0" w:color="D3D3D3"/>
              <w:bottom w:val="single" w:sz="16" w:space="0" w:color="D3D3D3"/>
              <w:right w:val="single" w:sz="0" w:space="0" w:color="D3D3D3"/>
            </w:tcBorders>
          </w:tcPr>
          <w:p w14:paraId="36C226C9"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U95.</w:t>
            </w:r>
          </w:p>
        </w:tc>
      </w:tr>
      <w:tr w:rsidR="00CB318D" w:rsidRPr="00CB318D" w14:paraId="5B9BA1B9"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61B1A00" w14:textId="77777777" w:rsidR="00935D9A" w:rsidRPr="00CB318D" w:rsidRDefault="0054436F">
            <w:pPr>
              <w:keepNext/>
              <w:spacing w:after="60"/>
              <w:rPr>
                <w:color w:val="000000" w:themeColor="text1"/>
              </w:rPr>
            </w:pPr>
            <w:r w:rsidRPr="00CB318D">
              <w:rPr>
                <w:rFonts w:ascii="Calibri" w:hAnsi="Calibri"/>
                <w:color w:val="000000" w:themeColor="text1"/>
                <w:sz w:val="20"/>
              </w:rPr>
              <w:t>shape</w:t>
            </w:r>
          </w:p>
        </w:tc>
        <w:tc>
          <w:tcPr>
            <w:tcW w:w="0" w:type="auto"/>
            <w:tcBorders>
              <w:top w:val="single" w:sz="0" w:space="0" w:color="D3D3D3"/>
              <w:left w:val="single" w:sz="0" w:space="0" w:color="D3D3D3"/>
              <w:bottom w:val="single" w:sz="0" w:space="0" w:color="D3D3D3"/>
              <w:right w:val="single" w:sz="0" w:space="0" w:color="D3D3D3"/>
            </w:tcBorders>
          </w:tcPr>
          <w:p w14:paraId="58C114B1"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-0.010</w:t>
            </w:r>
          </w:p>
        </w:tc>
        <w:tc>
          <w:tcPr>
            <w:tcW w:w="0" w:type="auto"/>
            <w:tcBorders>
              <w:top w:val="single" w:sz="0" w:space="0" w:color="D3D3D3"/>
              <w:left w:val="single" w:sz="0" w:space="0" w:color="D3D3D3"/>
              <w:bottom w:val="single" w:sz="0" w:space="0" w:color="D3D3D3"/>
              <w:right w:val="single" w:sz="0" w:space="0" w:color="D3D3D3"/>
            </w:tcBorders>
          </w:tcPr>
          <w:p w14:paraId="0243A7F7"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0.001</w:t>
            </w:r>
          </w:p>
        </w:tc>
        <w:tc>
          <w:tcPr>
            <w:tcW w:w="0" w:type="auto"/>
            <w:tcBorders>
              <w:top w:val="single" w:sz="0" w:space="0" w:color="D3D3D3"/>
              <w:left w:val="single" w:sz="0" w:space="0" w:color="D3D3D3"/>
              <w:bottom w:val="single" w:sz="0" w:space="0" w:color="D3D3D3"/>
              <w:right w:val="single" w:sz="0" w:space="0" w:color="D3D3D3"/>
            </w:tcBorders>
          </w:tcPr>
          <w:p w14:paraId="788F6427"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-0.01216473</w:t>
            </w:r>
          </w:p>
        </w:tc>
        <w:tc>
          <w:tcPr>
            <w:tcW w:w="0" w:type="auto"/>
            <w:tcBorders>
              <w:top w:val="single" w:sz="0" w:space="0" w:color="D3D3D3"/>
              <w:left w:val="single" w:sz="0" w:space="0" w:color="D3D3D3"/>
              <w:bottom w:val="single" w:sz="0" w:space="0" w:color="D3D3D3"/>
              <w:right w:val="single" w:sz="0" w:space="0" w:color="D3D3D3"/>
            </w:tcBorders>
          </w:tcPr>
          <w:p w14:paraId="30021991"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-0.008178554</w:t>
            </w:r>
          </w:p>
        </w:tc>
      </w:tr>
      <w:tr w:rsidR="00CB318D" w:rsidRPr="00CB318D" w14:paraId="4A7A802A"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7C980C12" w14:textId="77777777" w:rsidR="00935D9A" w:rsidRPr="00CB318D" w:rsidRDefault="0054436F">
            <w:pPr>
              <w:keepNext/>
              <w:spacing w:after="60"/>
              <w:rPr>
                <w:color w:val="000000" w:themeColor="text1"/>
              </w:rPr>
            </w:pPr>
            <w:r w:rsidRPr="00CB318D">
              <w:rPr>
                <w:rFonts w:ascii="Calibri" w:hAnsi="Calibri"/>
                <w:color w:val="000000" w:themeColor="text1"/>
                <w:sz w:val="20"/>
              </w:rPr>
              <w:t>rate</w:t>
            </w:r>
          </w:p>
        </w:tc>
        <w:tc>
          <w:tcPr>
            <w:tcW w:w="0" w:type="auto"/>
            <w:tcBorders>
              <w:top w:val="single" w:sz="0" w:space="0" w:color="D3D3D3"/>
              <w:left w:val="single" w:sz="0" w:space="0" w:color="D3D3D3"/>
              <w:bottom w:val="single" w:sz="0" w:space="0" w:color="D3D3D3"/>
              <w:right w:val="single" w:sz="0" w:space="0" w:color="D3D3D3"/>
            </w:tcBorders>
          </w:tcPr>
          <w:p w14:paraId="701414E2"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0.087</w:t>
            </w:r>
          </w:p>
        </w:tc>
        <w:tc>
          <w:tcPr>
            <w:tcW w:w="0" w:type="auto"/>
            <w:tcBorders>
              <w:top w:val="single" w:sz="0" w:space="0" w:color="D3D3D3"/>
              <w:left w:val="single" w:sz="0" w:space="0" w:color="D3D3D3"/>
              <w:bottom w:val="single" w:sz="0" w:space="0" w:color="D3D3D3"/>
              <w:right w:val="single" w:sz="0" w:space="0" w:color="D3D3D3"/>
            </w:tcBorders>
          </w:tcPr>
          <w:p w14:paraId="4D72162A"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0.001</w:t>
            </w:r>
          </w:p>
        </w:tc>
        <w:tc>
          <w:tcPr>
            <w:tcW w:w="0" w:type="auto"/>
            <w:tcBorders>
              <w:top w:val="single" w:sz="0" w:space="0" w:color="D3D3D3"/>
              <w:left w:val="single" w:sz="0" w:space="0" w:color="D3D3D3"/>
              <w:bottom w:val="single" w:sz="0" w:space="0" w:color="D3D3D3"/>
              <w:right w:val="single" w:sz="0" w:space="0" w:color="D3D3D3"/>
            </w:tcBorders>
          </w:tcPr>
          <w:p w14:paraId="2CC93109"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0.08398222</w:t>
            </w:r>
          </w:p>
        </w:tc>
        <w:tc>
          <w:tcPr>
            <w:tcW w:w="0" w:type="auto"/>
            <w:tcBorders>
              <w:top w:val="single" w:sz="0" w:space="0" w:color="D3D3D3"/>
              <w:left w:val="single" w:sz="0" w:space="0" w:color="D3D3D3"/>
              <w:bottom w:val="single" w:sz="0" w:space="0" w:color="D3D3D3"/>
              <w:right w:val="single" w:sz="0" w:space="0" w:color="D3D3D3"/>
            </w:tcBorders>
          </w:tcPr>
          <w:p w14:paraId="3D6AEFB3" w14:textId="77777777" w:rsidR="00935D9A" w:rsidRPr="00CB318D" w:rsidRDefault="0054436F">
            <w:pPr>
              <w:keepNext/>
              <w:spacing w:after="60"/>
              <w:jc w:val="right"/>
              <w:rPr>
                <w:color w:val="000000" w:themeColor="text1"/>
              </w:rPr>
            </w:pPr>
            <w:r w:rsidRPr="00CB318D">
              <w:rPr>
                <w:rFonts w:ascii="Calibri" w:hAnsi="Calibri"/>
                <w:color w:val="000000" w:themeColor="text1"/>
                <w:sz w:val="20"/>
              </w:rPr>
              <w:t>0.089578256</w:t>
            </w:r>
          </w:p>
        </w:tc>
      </w:tr>
      <w:tr w:rsidR="00CB318D" w:rsidRPr="00CB318D" w14:paraId="36257FBE" w14:textId="77777777">
        <w:trPr>
          <w:cantSplit/>
          <w:jc w:val="center"/>
        </w:trPr>
        <w:tc>
          <w:tcPr>
            <w:tcW w:w="0" w:type="auto"/>
            <w:gridSpan w:val="5"/>
          </w:tcPr>
          <w:p w14:paraId="5893B8CD" w14:textId="77777777" w:rsidR="00935D9A" w:rsidRPr="00CB318D" w:rsidRDefault="0054436F">
            <w:pPr>
              <w:keepNext/>
              <w:spacing w:after="60"/>
              <w:rPr>
                <w:color w:val="000000" w:themeColor="text1"/>
              </w:rPr>
            </w:pPr>
            <w:r w:rsidRPr="00CB318D">
              <w:rPr>
                <w:rFonts w:ascii="Calibri" w:hAnsi="Calibri"/>
                <w:color w:val="000000" w:themeColor="text1"/>
                <w:sz w:val="20"/>
              </w:rPr>
              <w:t>log-likelihood = -23131.2241491928</w:t>
            </w:r>
          </w:p>
        </w:tc>
      </w:tr>
      <w:tr w:rsidR="00CB318D" w:rsidRPr="00CB318D" w14:paraId="0D0C626B" w14:textId="77777777">
        <w:trPr>
          <w:cantSplit/>
          <w:jc w:val="center"/>
        </w:trPr>
        <w:tc>
          <w:tcPr>
            <w:tcW w:w="0" w:type="auto"/>
            <w:gridSpan w:val="5"/>
          </w:tcPr>
          <w:p w14:paraId="57A26BBF" w14:textId="77777777" w:rsidR="00935D9A" w:rsidRPr="00CB318D" w:rsidRDefault="0054436F">
            <w:pPr>
              <w:keepNext/>
              <w:spacing w:after="60"/>
              <w:rPr>
                <w:color w:val="000000" w:themeColor="text1"/>
              </w:rPr>
            </w:pPr>
            <w:r w:rsidRPr="00CB318D">
              <w:rPr>
                <w:rFonts w:ascii="Calibri" w:hAnsi="Calibri"/>
                <w:color w:val="000000" w:themeColor="text1"/>
                <w:sz w:val="20"/>
              </w:rPr>
              <w:t>AIC = 46266.4482983856</w:t>
            </w:r>
          </w:p>
        </w:tc>
      </w:tr>
      <w:tr w:rsidR="00CB318D" w:rsidRPr="00CB318D" w14:paraId="3C56E58B" w14:textId="77777777">
        <w:trPr>
          <w:cantSplit/>
          <w:jc w:val="center"/>
        </w:trPr>
        <w:tc>
          <w:tcPr>
            <w:tcW w:w="0" w:type="auto"/>
            <w:gridSpan w:val="5"/>
          </w:tcPr>
          <w:p w14:paraId="2F286928" w14:textId="77777777" w:rsidR="00935D9A" w:rsidRPr="00CB318D" w:rsidRDefault="0054436F">
            <w:pPr>
              <w:keepNext/>
              <w:spacing w:after="60"/>
              <w:rPr>
                <w:color w:val="000000" w:themeColor="text1"/>
              </w:rPr>
            </w:pPr>
            <w:r w:rsidRPr="00CB318D">
              <w:rPr>
                <w:rFonts w:ascii="Calibri" w:hAnsi="Calibri"/>
                <w:color w:val="000000" w:themeColor="text1"/>
                <w:sz w:val="20"/>
              </w:rPr>
              <w:t>BIC = 46280.1792040371</w:t>
            </w:r>
          </w:p>
        </w:tc>
      </w:tr>
    </w:tbl>
    <w:tbl>
      <w:tblPr>
        <w:tblStyle w:val="Table"/>
        <w:tblW w:w="5000" w:type="pct"/>
        <w:tblLayout w:type="fixed"/>
        <w:tblLook w:val="0000" w:firstRow="0" w:lastRow="0" w:firstColumn="0" w:lastColumn="0" w:noHBand="0" w:noVBand="0"/>
      </w:tblPr>
      <w:tblGrid>
        <w:gridCol w:w="9360"/>
      </w:tblGrid>
      <w:tr w:rsidR="00CB318D" w:rsidRPr="00CB318D" w14:paraId="70C79798" w14:textId="77777777">
        <w:tc>
          <w:tcPr>
            <w:tcW w:w="7920" w:type="dxa"/>
          </w:tcPr>
          <w:p w14:paraId="6CB0E04F" w14:textId="77777777" w:rsidR="00935D9A" w:rsidRPr="00CB318D" w:rsidRDefault="0054436F">
            <w:pPr>
              <w:pStyle w:val="ImageCaption"/>
              <w:spacing w:before="200"/>
              <w:rPr>
                <w:color w:val="000000" w:themeColor="text1"/>
              </w:rPr>
            </w:pPr>
            <w:bookmarkStart w:id="42" w:name="tbl-km-Gompertz-ch1"/>
            <w:r w:rsidRPr="00CB318D">
              <w:rPr>
                <w:color w:val="000000" w:themeColor="text1"/>
              </w:rPr>
              <w:t>Table 10: Survival model fit summary (Gompertz distribution)</w:t>
            </w:r>
          </w:p>
          <w:bookmarkEnd w:id="42"/>
          <w:p w14:paraId="6AE1BAC9" w14:textId="77777777" w:rsidR="00935D9A" w:rsidRPr="00CB318D" w:rsidRDefault="00935D9A">
            <w:pPr>
              <w:rPr>
                <w:color w:val="000000" w:themeColor="text1"/>
              </w:rPr>
            </w:pPr>
          </w:p>
        </w:tc>
      </w:tr>
      <w:bookmarkEnd w:id="2"/>
      <w:bookmarkEnd w:id="12"/>
      <w:bookmarkEnd w:id="16"/>
      <w:bookmarkEnd w:id="40"/>
    </w:tbl>
    <w:p w14:paraId="340F95AF" w14:textId="77777777" w:rsidR="00315E90" w:rsidRPr="00CB318D" w:rsidRDefault="00315E90">
      <w:pPr>
        <w:rPr>
          <w:color w:val="000000" w:themeColor="text1"/>
        </w:rPr>
      </w:pPr>
    </w:p>
    <w:sectPr w:rsidR="00315E90" w:rsidRPr="00CB318D">
      <w:headerReference w:type="default" r:id="rId21"/>
      <w:footerReference w:type="default" r:id="rId22"/>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70B995" w14:textId="77777777" w:rsidR="00315E90" w:rsidRDefault="00315E90">
      <w:pPr>
        <w:spacing w:after="0"/>
      </w:pPr>
      <w:r>
        <w:separator/>
      </w:r>
    </w:p>
  </w:endnote>
  <w:endnote w:type="continuationSeparator" w:id="0">
    <w:p w14:paraId="1D9B1752" w14:textId="77777777" w:rsidR="00315E90" w:rsidRDefault="00315E9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43777E" w14:textId="77777777" w:rsidR="00E365A2" w:rsidRDefault="007517DE" w:rsidP="007517DE">
    <w:pPr>
      <w:pStyle w:val="Footer"/>
      <w:jc w:val="right"/>
    </w:pPr>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F777F4" w14:textId="77777777" w:rsidR="00315E90" w:rsidRDefault="00315E90">
      <w:pPr>
        <w:spacing w:after="0"/>
      </w:pPr>
      <w:r>
        <w:separator/>
      </w:r>
    </w:p>
  </w:footnote>
  <w:footnote w:type="continuationSeparator" w:id="0">
    <w:p w14:paraId="3F3EE7AC" w14:textId="77777777" w:rsidR="00315E90" w:rsidRDefault="00315E90">
      <w:pPr>
        <w:spacing w:after="0"/>
      </w:pPr>
      <w:r>
        <w:continuationSeparator/>
      </w:r>
    </w:p>
  </w:footnote>
  <w:footnote w:id="1">
    <w:p w14:paraId="731914F6" w14:textId="77777777" w:rsidR="00935D9A" w:rsidRDefault="0054436F">
      <w:pPr>
        <w:pStyle w:val="FootnoteText"/>
      </w:pPr>
      <w:r>
        <w:rPr>
          <w:rStyle w:val="FootnoteReference"/>
        </w:rPr>
        <w:footnoteRef/>
      </w:r>
      <w:r>
        <w:t xml:space="preserve"> Chloe J. Bright et al., “Data Resource Profile: The Systemic Anti-Cancer Therapy (SACT) dataset,” </w:t>
      </w:r>
      <w:r>
        <w:rPr>
          <w:i/>
          <w:iCs/>
        </w:rPr>
        <w:t>International Journal of Epidemiology</w:t>
      </w:r>
      <w:r>
        <w:t xml:space="preserve"> 49, no. 1 (February 2020): 15–15l, </w:t>
      </w:r>
      <w:hyperlink r:id="rId1">
        <w:r w:rsidR="00935D9A">
          <w:rPr>
            <w:rStyle w:val="Hyperlink"/>
          </w:rPr>
          <w:t>https://dx.doi.org/10.1093/ije/dyz137</w:t>
        </w:r>
      </w:hyperlink>
      <w:r>
        <w:t>.</w:t>
      </w:r>
    </w:p>
  </w:footnote>
  <w:footnote w:id="2">
    <w:p w14:paraId="24461A9A" w14:textId="77777777" w:rsidR="00935D9A" w:rsidRDefault="0054436F">
      <w:pPr>
        <w:pStyle w:val="FootnoteText"/>
      </w:pPr>
      <w:r>
        <w:rPr>
          <w:rStyle w:val="FootnoteReference"/>
        </w:rPr>
        <w:footnoteRef/>
      </w:r>
      <w:r>
        <w:t xml:space="preserve"> </w:t>
      </w:r>
      <w:r>
        <w:rPr>
          <w:i/>
          <w:iCs/>
        </w:rPr>
        <w:t>NICE health technology evaluations: the manual (2025) NICE process and methods PMG36. Last updated 23 October 2025</w:t>
      </w:r>
      <w:r>
        <w:t xml:space="preserve">, n.d., </w:t>
      </w:r>
      <w:hyperlink r:id="rId2">
        <w:r w:rsidR="00935D9A" w:rsidRPr="00CB318D">
          <w:rPr>
            <w:rStyle w:val="Hyperlink"/>
            <w:color w:val="auto"/>
          </w:rPr>
          <w:t>https://www.nice.org.uk/process/pmg36</w:t>
        </w:r>
      </w:hyperlink>
      <w:r>
        <w:t>.</w:t>
      </w:r>
    </w:p>
  </w:footnote>
  <w:footnote w:id="3">
    <w:p w14:paraId="30775BE4" w14:textId="77777777" w:rsidR="00935D9A" w:rsidRDefault="0054436F">
      <w:pPr>
        <w:pStyle w:val="FootnoteText"/>
      </w:pPr>
      <w:r>
        <w:rPr>
          <w:rStyle w:val="FootnoteReference"/>
        </w:rPr>
        <w:footnoteRef/>
      </w:r>
      <w:r>
        <w:t xml:space="preserve"> Latimer Nicholas, </w:t>
      </w:r>
      <w:r>
        <w:rPr>
          <w:i/>
          <w:iCs/>
        </w:rPr>
        <w:t>NICE DSU Technical Support Document 14: Undertaking survival analysis for economic evaluations alongside clinical trials - extrapolation with patient-level data</w:t>
      </w:r>
      <w:r>
        <w:t xml:space="preserve">, 2011, </w:t>
      </w:r>
      <w:hyperlink r:id="rId3">
        <w:r w:rsidR="00935D9A" w:rsidRPr="00CB318D">
          <w:rPr>
            <w:rStyle w:val="Hyperlink"/>
            <w:color w:val="auto"/>
          </w:rPr>
          <w:t>http://www.nicedsu.org.uk/</w:t>
        </w:r>
      </w:hyperlink>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EE8B3A" w14:textId="77777777" w:rsidR="00FC2CEC" w:rsidRDefault="00FC2CEC">
    <w:pPr>
      <w:pStyle w:val="Header"/>
    </w:pPr>
    <w:r w:rsidRPr="000E748E">
      <w:rPr>
        <w:noProof/>
      </w:rPr>
      <w:drawing>
        <wp:anchor distT="0" distB="0" distL="114300" distR="114300" simplePos="0" relativeHeight="251661312" behindDoc="1" locked="0" layoutInCell="1" allowOverlap="1" wp14:anchorId="077A1984" wp14:editId="1C78B828">
          <wp:simplePos x="0" y="0"/>
          <wp:positionH relativeFrom="column">
            <wp:posOffset>4340225</wp:posOffset>
          </wp:positionH>
          <wp:positionV relativeFrom="paragraph">
            <wp:posOffset>-117475</wp:posOffset>
          </wp:positionV>
          <wp:extent cx="1590675" cy="534319"/>
          <wp:effectExtent l="0" t="0" r="0" b="0"/>
          <wp:wrapTight wrapText="bothSides">
            <wp:wrapPolygon edited="0">
              <wp:start x="0" y="0"/>
              <wp:lineTo x="0" y="20804"/>
              <wp:lineTo x="21212" y="20804"/>
              <wp:lineTo x="21212" y="0"/>
              <wp:lineTo x="0" y="0"/>
            </wp:wrapPolygon>
          </wp:wrapTight>
          <wp:docPr id="398737293"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737293"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0675" cy="534319"/>
                  </a:xfrm>
                  <a:prstGeom prst="rect">
                    <a:avLst/>
                  </a:prstGeom>
                  <a:noFill/>
                  <a:ln>
                    <a:noFill/>
                  </a:ln>
                </pic:spPr>
              </pic:pic>
            </a:graphicData>
          </a:graphic>
        </wp:anchor>
      </w:drawing>
    </w:r>
    <w:r>
      <w:rPr>
        <w:noProof/>
      </w:rPr>
      <w:drawing>
        <wp:anchor distT="0" distB="0" distL="114300" distR="114300" simplePos="0" relativeHeight="251659264" behindDoc="0" locked="0" layoutInCell="1" allowOverlap="1" wp14:anchorId="62821129" wp14:editId="5E3D9432">
          <wp:simplePos x="0" y="0"/>
          <wp:positionH relativeFrom="margin">
            <wp:posOffset>0</wp:posOffset>
          </wp:positionH>
          <wp:positionV relativeFrom="topMargin">
            <wp:posOffset>457200</wp:posOffset>
          </wp:positionV>
          <wp:extent cx="2444400" cy="252000"/>
          <wp:effectExtent l="0" t="0" r="0" b="0"/>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2">
                    <a:extLst>
                      <a:ext uri="{28A0092B-C50C-407E-A947-70E740481C1C}">
                        <a14:useLocalDpi xmlns:a14="http://schemas.microsoft.com/office/drawing/2010/main" val="0"/>
                      </a:ext>
                    </a:extLst>
                  </a:blip>
                  <a:stretch>
                    <a:fillRect/>
                  </a:stretch>
                </pic:blipFill>
                <pic:spPr>
                  <a:xfrm>
                    <a:off x="0" y="0"/>
                    <a:ext cx="2444400" cy="252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AA8E9A88"/>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FF12F5EA"/>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7D1AE6FC"/>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469A17D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851C0D5A"/>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3CC4236"/>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3E0CA32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788A826"/>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040874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F4C0F8E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A990"/>
    <w:multiLevelType w:val="multilevel"/>
    <w:tmpl w:val="F5984D1C"/>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11" w15:restartNumberingAfterBreak="0">
    <w:nsid w:val="0000A991"/>
    <w:multiLevelType w:val="multilevel"/>
    <w:tmpl w:val="655012FE"/>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num w:numId="1" w16cid:durableId="1126389124">
    <w:abstractNumId w:val="10"/>
  </w:num>
  <w:num w:numId="2" w16cid:durableId="1085616903">
    <w:abstractNumId w:val="11"/>
  </w:num>
  <w:num w:numId="3" w16cid:durableId="323628995">
    <w:abstractNumId w:val="11"/>
  </w:num>
  <w:num w:numId="4" w16cid:durableId="1691493126">
    <w:abstractNumId w:val="9"/>
  </w:num>
  <w:num w:numId="5" w16cid:durableId="1004942455">
    <w:abstractNumId w:val="7"/>
  </w:num>
  <w:num w:numId="6" w16cid:durableId="2066373257">
    <w:abstractNumId w:val="6"/>
  </w:num>
  <w:num w:numId="7" w16cid:durableId="620068494">
    <w:abstractNumId w:val="5"/>
  </w:num>
  <w:num w:numId="8" w16cid:durableId="1753578916">
    <w:abstractNumId w:val="4"/>
  </w:num>
  <w:num w:numId="9" w16cid:durableId="1044331384">
    <w:abstractNumId w:val="8"/>
  </w:num>
  <w:num w:numId="10" w16cid:durableId="2098357689">
    <w:abstractNumId w:val="3"/>
  </w:num>
  <w:num w:numId="11" w16cid:durableId="1892958354">
    <w:abstractNumId w:val="2"/>
  </w:num>
  <w:num w:numId="12" w16cid:durableId="1202130505">
    <w:abstractNumId w:val="1"/>
  </w:num>
  <w:num w:numId="13" w16cid:durableId="984317019">
    <w:abstractNumId w:val="0"/>
  </w:num>
  <w:num w:numId="14" w16cid:durableId="1858502063">
    <w:abstractNumId w:val="10"/>
  </w:num>
  <w:num w:numId="15" w16cid:durableId="2135563390">
    <w:abstractNumId w:val="11"/>
  </w:num>
  <w:num w:numId="16" w16cid:durableId="1535777261">
    <w:abstractNumId w:val="11"/>
  </w:num>
  <w:num w:numId="17" w16cid:durableId="180284039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132B"/>
    <w:rsid w:val="0002132B"/>
    <w:rsid w:val="000579B6"/>
    <w:rsid w:val="000B4AFB"/>
    <w:rsid w:val="00133BDE"/>
    <w:rsid w:val="001437CD"/>
    <w:rsid w:val="00215699"/>
    <w:rsid w:val="002703C1"/>
    <w:rsid w:val="00291865"/>
    <w:rsid w:val="00315E90"/>
    <w:rsid w:val="00396F6C"/>
    <w:rsid w:val="00512E43"/>
    <w:rsid w:val="0054436F"/>
    <w:rsid w:val="007517DE"/>
    <w:rsid w:val="007656B1"/>
    <w:rsid w:val="00836486"/>
    <w:rsid w:val="008A51FA"/>
    <w:rsid w:val="008B0A8A"/>
    <w:rsid w:val="00935D9A"/>
    <w:rsid w:val="00AA1E02"/>
    <w:rsid w:val="00B74C36"/>
    <w:rsid w:val="00CB10C8"/>
    <w:rsid w:val="00CB318D"/>
    <w:rsid w:val="00D001C0"/>
    <w:rsid w:val="00D35E83"/>
    <w:rsid w:val="00DA3CF4"/>
    <w:rsid w:val="00E365A2"/>
    <w:rsid w:val="00F0563B"/>
    <w:rsid w:val="00F50627"/>
    <w:rsid w:val="00FC2C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81D80F"/>
  <w15:docId w15:val="{2A80A61F-F376-406D-A870-5AADFC55BA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BodyText"/>
    <w:uiPriority w:val="9"/>
    <w:qFormat/>
    <w:rsid w:val="00CB10C8"/>
    <w:pPr>
      <w:keepNext/>
      <w:keepLines/>
      <w:spacing w:before="480" w:after="0"/>
      <w:jc w:val="center"/>
      <w:outlineLvl w:val="0"/>
    </w:pPr>
    <w:rPr>
      <w:rFonts w:asciiTheme="majorHAnsi" w:eastAsiaTheme="majorEastAsia" w:hAnsiTheme="majorHAnsi" w:cstheme="majorBidi"/>
      <w:b/>
      <w:bCs/>
      <w:color w:val="4F81BD" w:themeColor="accent1"/>
      <w:sz w:val="36"/>
      <w:szCs w:val="32"/>
    </w:rPr>
  </w:style>
  <w:style w:type="paragraph" w:styleId="Heading2">
    <w:name w:val="heading 2"/>
    <w:basedOn w:val="Normal"/>
    <w:next w:val="BodyText"/>
    <w:uiPriority w:val="9"/>
    <w:unhideWhenUsed/>
    <w:qFormat/>
    <w:pPr>
      <w:keepNext/>
      <w:keepLines/>
      <w:spacing w:before="200" w:after="0"/>
      <w:outlineLvl w:val="1"/>
    </w:pPr>
    <w:rPr>
      <w:rFonts w:asciiTheme="majorHAnsi" w:eastAsiaTheme="majorEastAsia" w:hAnsiTheme="majorHAnsi" w:cstheme="majorBidi"/>
      <w:b/>
      <w:bCs/>
      <w:color w:val="4F81BD" w:themeColor="accent1"/>
      <w:sz w:val="28"/>
      <w:szCs w:val="28"/>
    </w:rPr>
  </w:style>
  <w:style w:type="paragraph" w:styleId="Heading3">
    <w:name w:val="heading 3"/>
    <w:basedOn w:val="Normal"/>
    <w:next w:val="BodyText"/>
    <w:uiPriority w:val="9"/>
    <w:unhideWhenUsed/>
    <w:qFormat/>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BodyText"/>
    <w:link w:val="Heading4Char"/>
    <w:uiPriority w:val="9"/>
    <w:unhideWhenUsed/>
    <w:qFormat/>
    <w:pPr>
      <w:keepNext/>
      <w:keepLines/>
      <w:spacing w:before="200" w:after="0"/>
      <w:outlineLvl w:val="3"/>
    </w:pPr>
    <w:rPr>
      <w:rFonts w:asciiTheme="majorHAnsi" w:eastAsiaTheme="majorEastAsia" w:hAnsiTheme="majorHAnsi" w:cstheme="majorBidi"/>
      <w:bCs/>
      <w:i/>
      <w:color w:val="4F81BD" w:themeColor="accent1"/>
    </w:rPr>
  </w:style>
  <w:style w:type="paragraph" w:styleId="Heading5">
    <w:name w:val="heading 5"/>
    <w:basedOn w:val="Normal"/>
    <w:next w:val="BodyText"/>
    <w:uiPriority w:val="9"/>
    <w:unhideWhenUsed/>
    <w:qFormat/>
    <w:pPr>
      <w:keepNext/>
      <w:keepLines/>
      <w:spacing w:before="200" w:after="0"/>
      <w:outlineLvl w:val="4"/>
    </w:pPr>
    <w:rPr>
      <w:rFonts w:asciiTheme="majorHAnsi" w:eastAsiaTheme="majorEastAsia" w:hAnsiTheme="majorHAnsi" w:cstheme="majorBidi"/>
      <w:iCs/>
      <w:color w:val="4F81BD" w:themeColor="accent1"/>
    </w:rPr>
  </w:style>
  <w:style w:type="paragraph" w:styleId="Heading6">
    <w:name w:val="heading 6"/>
    <w:basedOn w:val="Normal"/>
    <w:next w:val="BodyText"/>
    <w:uiPriority w:val="9"/>
    <w:unhideWhenUsed/>
    <w:qFormat/>
    <w:pPr>
      <w:keepNext/>
      <w:keepLines/>
      <w:spacing w:before="200" w:after="0"/>
      <w:outlineLvl w:val="5"/>
    </w:pPr>
    <w:rPr>
      <w:rFonts w:asciiTheme="majorHAnsi" w:eastAsiaTheme="majorEastAsia" w:hAnsiTheme="majorHAnsi" w:cstheme="majorBidi"/>
      <w:color w:val="4F81BD" w:themeColor="accent1"/>
    </w:rPr>
  </w:style>
  <w:style w:type="paragraph" w:styleId="Heading7">
    <w:name w:val="heading 7"/>
    <w:basedOn w:val="Normal"/>
    <w:next w:val="BodyText"/>
    <w:uiPriority w:val="9"/>
    <w:unhideWhenUsed/>
    <w:qFormat/>
    <w:pPr>
      <w:keepNext/>
      <w:keepLines/>
      <w:spacing w:before="200" w:after="0"/>
      <w:outlineLvl w:val="6"/>
    </w:pPr>
    <w:rPr>
      <w:rFonts w:asciiTheme="majorHAnsi" w:eastAsiaTheme="majorEastAsia" w:hAnsiTheme="majorHAnsi" w:cstheme="majorBidi"/>
      <w:color w:val="4F81BD" w:themeColor="accent1"/>
    </w:rPr>
  </w:style>
  <w:style w:type="paragraph" w:styleId="Heading8">
    <w:name w:val="heading 8"/>
    <w:basedOn w:val="Normal"/>
    <w:next w:val="BodyText"/>
    <w:uiPriority w:val="9"/>
    <w:unhideWhenUsed/>
    <w:qFormat/>
    <w:pPr>
      <w:keepNext/>
      <w:keepLines/>
      <w:spacing w:before="200" w:after="0"/>
      <w:outlineLvl w:val="7"/>
    </w:pPr>
    <w:rPr>
      <w:rFonts w:asciiTheme="majorHAnsi" w:eastAsiaTheme="majorEastAsia" w:hAnsiTheme="majorHAnsi" w:cstheme="majorBidi"/>
      <w:color w:val="4F81BD" w:themeColor="accent1"/>
    </w:rPr>
  </w:style>
  <w:style w:type="paragraph" w:styleId="Heading9">
    <w:name w:val="heading 9"/>
    <w:basedOn w:val="Normal"/>
    <w:next w:val="BodyText"/>
    <w:uiPriority w:val="9"/>
    <w:unhideWhenUsed/>
    <w:qFormat/>
    <w:pPr>
      <w:keepNext/>
      <w:keepLines/>
      <w:spacing w:before="200" w:after="0"/>
      <w:outlineLvl w:val="8"/>
    </w:pPr>
    <w:rPr>
      <w:rFonts w:asciiTheme="majorHAnsi" w:eastAsiaTheme="majorEastAsia" w:hAnsiTheme="majorHAnsi" w:cstheme="majorBidi"/>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pPr>
      <w:spacing w:before="180" w:after="180"/>
    </w:pPr>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qFormat/>
    <w:pPr>
      <w:keepNext/>
      <w:keepLines/>
      <w:spacing w:before="480" w:after="240"/>
      <w:jc w:val="center"/>
    </w:pPr>
    <w:rPr>
      <w:rFonts w:asciiTheme="majorHAnsi" w:eastAsiaTheme="majorEastAsia" w:hAnsiTheme="majorHAnsi" w:cstheme="majorBidi"/>
      <w:b/>
      <w:bCs/>
      <w:color w:val="345A8A" w:themeColor="accent1" w:themeShade="B5"/>
      <w:sz w:val="36"/>
      <w:szCs w:val="36"/>
    </w:rPr>
  </w:style>
  <w:style w:type="paragraph" w:styleId="Subtitle">
    <w:name w:val="Subtitle"/>
    <w:basedOn w:val="Title"/>
    <w:next w:val="BodyText"/>
    <w:qFormat/>
    <w:pPr>
      <w:spacing w:before="240"/>
    </w:pPr>
    <w:rPr>
      <w:sz w:val="30"/>
      <w:szCs w:val="30"/>
    </w:rPr>
  </w:style>
  <w:style w:type="paragraph" w:customStyle="1" w:styleId="Author">
    <w:name w:val="Author"/>
    <w:next w:val="BodyText"/>
    <w:qFormat/>
    <w:pPr>
      <w:keepNext/>
      <w:keepLines/>
      <w:jc w:val="center"/>
    </w:pPr>
  </w:style>
  <w:style w:type="paragraph" w:styleId="Date">
    <w:name w:val="Date"/>
    <w:next w:val="BodyText"/>
    <w:qFormat/>
    <w:pPr>
      <w:keepNext/>
      <w:keepLines/>
      <w:jc w:val="center"/>
    </w:pPr>
  </w:style>
  <w:style w:type="paragraph" w:customStyle="1" w:styleId="AbstractTitle">
    <w:name w:val="Abstract Title"/>
    <w:basedOn w:val="Normal"/>
    <w:next w:val="Abstract"/>
    <w:qFormat/>
    <w:pPr>
      <w:keepNext/>
      <w:keepLines/>
      <w:spacing w:before="300" w:after="0"/>
      <w:jc w:val="center"/>
    </w:pPr>
    <w:rPr>
      <w:b/>
      <w:color w:val="345A8A"/>
      <w:sz w:val="20"/>
      <w:szCs w:val="20"/>
    </w:rPr>
  </w:style>
  <w:style w:type="paragraph" w:customStyle="1" w:styleId="Abstract">
    <w:name w:val="Abstract"/>
    <w:basedOn w:val="Normal"/>
    <w:next w:val="BodyText"/>
    <w:qFormat/>
    <w:pPr>
      <w:keepNext/>
      <w:keepLines/>
      <w:spacing w:before="100" w:after="300"/>
    </w:pPr>
    <w:rPr>
      <w:sz w:val="20"/>
      <w:szCs w:val="20"/>
    </w:rPr>
  </w:style>
  <w:style w:type="paragraph" w:styleId="Bibliography">
    <w:name w:val="Bibliography"/>
    <w:basedOn w:val="Normal"/>
    <w:qFormat/>
  </w:style>
  <w:style w:type="paragraph" w:styleId="BlockText">
    <w:name w:val="Block Text"/>
    <w:basedOn w:val="BodyText"/>
    <w:next w:val="BodyText"/>
    <w:uiPriority w:val="9"/>
    <w:unhideWhenUsed/>
    <w:qFormat/>
    <w:pPr>
      <w:spacing w:before="100" w:after="100"/>
      <w:ind w:left="480" w:right="480"/>
    </w:pPr>
  </w:style>
  <w:style w:type="paragraph" w:styleId="FootnoteText">
    <w:name w:val="footnote text"/>
    <w:basedOn w:val="Normal"/>
    <w:uiPriority w:val="9"/>
    <w:unhideWhenUsed/>
    <w:qFormat/>
  </w:style>
  <w:style w:type="paragraph" w:customStyle="1" w:styleId="FootnoteBlockText">
    <w:name w:val="Footnote Block Text"/>
    <w:uiPriority w:val="9"/>
    <w:unhideWhenUsed/>
    <w:qFormat/>
    <w:pPr>
      <w:spacing w:before="100" w:after="100"/>
      <w:ind w:left="480" w:right="480"/>
    </w:pPr>
  </w:style>
  <w:style w:type="table" w:customStyle="1" w:styleId="Table">
    <w:name w:val="Table"/>
    <w:semiHidden/>
    <w:unhideWhenUsed/>
    <w:qFormat/>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CaptionChar"/>
    <w:pPr>
      <w:spacing w:after="120"/>
    </w:pPr>
    <w:rPr>
      <w:i/>
    </w:rPr>
  </w:style>
  <w:style w:type="paragraph" w:customStyle="1" w:styleId="TableCaption">
    <w:name w:val="Table Caption"/>
    <w:basedOn w:val="Caption"/>
    <w:pPr>
      <w:keepNext/>
    </w:pPr>
  </w:style>
  <w:style w:type="paragraph" w:customStyle="1" w:styleId="ImageCaption">
    <w:name w:val="Image Caption"/>
    <w:basedOn w:val="Caption"/>
  </w:style>
  <w:style w:type="paragraph" w:customStyle="1" w:styleId="Figure">
    <w:name w:val="Figure"/>
    <w:basedOn w:val="Normal"/>
  </w:style>
  <w:style w:type="paragraph" w:customStyle="1" w:styleId="CaptionedFigure">
    <w:name w:val="Captioned Figure"/>
    <w:basedOn w:val="Figure"/>
    <w:pPr>
      <w:keepNext/>
    </w:pPr>
  </w:style>
  <w:style w:type="character" w:customStyle="1" w:styleId="CaptionChar">
    <w:name w:val="Caption Char"/>
    <w:basedOn w:val="DefaultParagraphFont"/>
    <w:link w:val="Caption"/>
  </w:style>
  <w:style w:type="character" w:customStyle="1" w:styleId="VerbatimChar">
    <w:name w:val="Verbatim Char"/>
    <w:basedOn w:val="CaptionChar"/>
    <w:link w:val="SourceCode"/>
    <w:rPr>
      <w:rFonts w:ascii="Consolas" w:hAnsi="Consolas"/>
      <w:sz w:val="22"/>
    </w:rPr>
  </w:style>
  <w:style w:type="character" w:customStyle="1" w:styleId="SectionNumber">
    <w:name w:val="Section Number"/>
    <w:basedOn w:val="CaptionChar"/>
  </w:style>
  <w:style w:type="character" w:styleId="FootnoteReference">
    <w:name w:val="footnote reference"/>
    <w:basedOn w:val="CaptionChar"/>
    <w:rPr>
      <w:vertAlign w:val="superscript"/>
    </w:rPr>
  </w:style>
  <w:style w:type="character" w:styleId="Hyperlink">
    <w:name w:val="Hyperlink"/>
    <w:basedOn w:val="CaptionChar"/>
    <w:rPr>
      <w:color w:val="4F81BD" w:themeColor="accent1"/>
    </w:rPr>
  </w:style>
  <w:style w:type="paragraph" w:styleId="TOCHeading">
    <w:name w:val="TOC Heading"/>
    <w:basedOn w:val="Heading1"/>
    <w:next w:val="BodyText"/>
    <w:uiPriority w:val="39"/>
    <w:unhideWhenUsed/>
    <w:qFormat/>
    <w:pPr>
      <w:spacing w:before="240" w:line="259" w:lineRule="auto"/>
      <w:outlineLvl w:val="9"/>
    </w:pPr>
    <w:rPr>
      <w:b w:val="0"/>
      <w:bCs w:val="0"/>
      <w:color w:val="365F91" w:themeColor="accent1" w:themeShade="BF"/>
    </w:rPr>
  </w:style>
  <w:style w:type="paragraph" w:customStyle="1" w:styleId="SourceCode">
    <w:name w:val="Source Code"/>
    <w:basedOn w:val="Normal"/>
    <w:link w:val="VerbatimChar"/>
    <w:pPr>
      <w:shd w:val="clear" w:color="auto" w:fill="F1F3F5"/>
      <w:wordWrap w:val="0"/>
    </w:pPr>
  </w:style>
  <w:style w:type="character" w:customStyle="1" w:styleId="KeywordTok">
    <w:name w:val="KeywordTok"/>
    <w:basedOn w:val="VerbatimChar"/>
    <w:rPr>
      <w:rFonts w:ascii="Consolas" w:hAnsi="Consolas"/>
      <w:color w:val="003B4F"/>
      <w:sz w:val="22"/>
      <w:shd w:val="clear" w:color="auto" w:fill="F1F3F5"/>
    </w:rPr>
  </w:style>
  <w:style w:type="character" w:customStyle="1" w:styleId="DataTypeTok">
    <w:name w:val="DataTypeTok"/>
    <w:basedOn w:val="VerbatimChar"/>
    <w:rPr>
      <w:rFonts w:ascii="Consolas" w:hAnsi="Consolas"/>
      <w:color w:val="AD0000"/>
      <w:sz w:val="22"/>
      <w:shd w:val="clear" w:color="auto" w:fill="F1F3F5"/>
    </w:rPr>
  </w:style>
  <w:style w:type="character" w:customStyle="1" w:styleId="DecValTok">
    <w:name w:val="DecValTok"/>
    <w:basedOn w:val="VerbatimChar"/>
    <w:rPr>
      <w:rFonts w:ascii="Consolas" w:hAnsi="Consolas"/>
      <w:color w:val="AD0000"/>
      <w:sz w:val="22"/>
      <w:shd w:val="clear" w:color="auto" w:fill="F1F3F5"/>
    </w:rPr>
  </w:style>
  <w:style w:type="character" w:customStyle="1" w:styleId="BaseNTok">
    <w:name w:val="BaseNTok"/>
    <w:basedOn w:val="VerbatimChar"/>
    <w:rPr>
      <w:rFonts w:ascii="Consolas" w:hAnsi="Consolas"/>
      <w:color w:val="AD0000"/>
      <w:sz w:val="22"/>
      <w:shd w:val="clear" w:color="auto" w:fill="F1F3F5"/>
    </w:rPr>
  </w:style>
  <w:style w:type="character" w:customStyle="1" w:styleId="FloatTok">
    <w:name w:val="FloatTok"/>
    <w:basedOn w:val="VerbatimChar"/>
    <w:rPr>
      <w:rFonts w:ascii="Consolas" w:hAnsi="Consolas"/>
      <w:color w:val="AD0000"/>
      <w:sz w:val="22"/>
      <w:shd w:val="clear" w:color="auto" w:fill="F1F3F5"/>
    </w:rPr>
  </w:style>
  <w:style w:type="character" w:customStyle="1" w:styleId="ConstantTok">
    <w:name w:val="ConstantTok"/>
    <w:basedOn w:val="VerbatimChar"/>
    <w:rPr>
      <w:rFonts w:ascii="Consolas" w:hAnsi="Consolas"/>
      <w:color w:val="8F5902"/>
      <w:sz w:val="22"/>
      <w:shd w:val="clear" w:color="auto" w:fill="F1F3F5"/>
    </w:rPr>
  </w:style>
  <w:style w:type="character" w:customStyle="1" w:styleId="CharTok">
    <w:name w:val="CharTok"/>
    <w:basedOn w:val="VerbatimChar"/>
    <w:rPr>
      <w:rFonts w:ascii="Consolas" w:hAnsi="Consolas"/>
      <w:color w:val="20794D"/>
      <w:sz w:val="22"/>
      <w:shd w:val="clear" w:color="auto" w:fill="F1F3F5"/>
    </w:rPr>
  </w:style>
  <w:style w:type="character" w:customStyle="1" w:styleId="SpecialCharTok">
    <w:name w:val="SpecialCharTok"/>
    <w:basedOn w:val="VerbatimChar"/>
    <w:rPr>
      <w:rFonts w:ascii="Consolas" w:hAnsi="Consolas"/>
      <w:color w:val="5E5E5E"/>
      <w:sz w:val="22"/>
      <w:shd w:val="clear" w:color="auto" w:fill="F1F3F5"/>
    </w:rPr>
  </w:style>
  <w:style w:type="character" w:customStyle="1" w:styleId="StringTok">
    <w:name w:val="StringTok"/>
    <w:basedOn w:val="VerbatimChar"/>
    <w:rPr>
      <w:rFonts w:ascii="Consolas" w:hAnsi="Consolas"/>
      <w:color w:val="20794D"/>
      <w:sz w:val="22"/>
      <w:shd w:val="clear" w:color="auto" w:fill="F1F3F5"/>
    </w:rPr>
  </w:style>
  <w:style w:type="character" w:customStyle="1" w:styleId="VerbatimStringTok">
    <w:name w:val="VerbatimStringTok"/>
    <w:basedOn w:val="VerbatimChar"/>
    <w:rPr>
      <w:rFonts w:ascii="Consolas" w:hAnsi="Consolas"/>
      <w:color w:val="20794D"/>
      <w:sz w:val="22"/>
      <w:shd w:val="clear" w:color="auto" w:fill="F1F3F5"/>
    </w:rPr>
  </w:style>
  <w:style w:type="character" w:customStyle="1" w:styleId="SpecialStringTok">
    <w:name w:val="SpecialStringTok"/>
    <w:basedOn w:val="VerbatimChar"/>
    <w:rPr>
      <w:rFonts w:ascii="Consolas" w:hAnsi="Consolas"/>
      <w:color w:val="20794D"/>
      <w:sz w:val="22"/>
      <w:shd w:val="clear" w:color="auto" w:fill="F1F3F5"/>
    </w:rPr>
  </w:style>
  <w:style w:type="character" w:customStyle="1" w:styleId="ImportTok">
    <w:name w:val="ImportTok"/>
    <w:basedOn w:val="VerbatimChar"/>
    <w:rPr>
      <w:rFonts w:ascii="Consolas" w:hAnsi="Consolas"/>
      <w:color w:val="00769E"/>
      <w:sz w:val="22"/>
      <w:shd w:val="clear" w:color="auto" w:fill="F1F3F5"/>
    </w:rPr>
  </w:style>
  <w:style w:type="character" w:customStyle="1" w:styleId="CommentTok">
    <w:name w:val="CommentTok"/>
    <w:basedOn w:val="VerbatimChar"/>
    <w:rPr>
      <w:rFonts w:ascii="Consolas" w:hAnsi="Consolas"/>
      <w:color w:val="5E5E5E"/>
      <w:sz w:val="22"/>
      <w:shd w:val="clear" w:color="auto" w:fill="F1F3F5"/>
    </w:rPr>
  </w:style>
  <w:style w:type="character" w:customStyle="1" w:styleId="DocumentationTok">
    <w:name w:val="DocumentationTok"/>
    <w:basedOn w:val="VerbatimChar"/>
    <w:rPr>
      <w:rFonts w:ascii="Consolas" w:hAnsi="Consolas"/>
      <w:i/>
      <w:color w:val="5E5E5E"/>
      <w:sz w:val="22"/>
      <w:shd w:val="clear" w:color="auto" w:fill="F1F3F5"/>
    </w:rPr>
  </w:style>
  <w:style w:type="character" w:customStyle="1" w:styleId="AnnotationTok">
    <w:name w:val="AnnotationTok"/>
    <w:basedOn w:val="VerbatimChar"/>
    <w:rPr>
      <w:rFonts w:ascii="Consolas" w:hAnsi="Consolas"/>
      <w:color w:val="5E5E5E"/>
      <w:sz w:val="22"/>
      <w:shd w:val="clear" w:color="auto" w:fill="F1F3F5"/>
    </w:rPr>
  </w:style>
  <w:style w:type="character" w:customStyle="1" w:styleId="CommentVarTok">
    <w:name w:val="CommentVarTok"/>
    <w:basedOn w:val="VerbatimChar"/>
    <w:rPr>
      <w:rFonts w:ascii="Consolas" w:hAnsi="Consolas"/>
      <w:i/>
      <w:color w:val="5E5E5E"/>
      <w:sz w:val="22"/>
      <w:shd w:val="clear" w:color="auto" w:fill="F1F3F5"/>
    </w:rPr>
  </w:style>
  <w:style w:type="character" w:customStyle="1" w:styleId="OtherTok">
    <w:name w:val="OtherTok"/>
    <w:basedOn w:val="VerbatimChar"/>
    <w:rPr>
      <w:rFonts w:ascii="Consolas" w:hAnsi="Consolas"/>
      <w:color w:val="003B4F"/>
      <w:sz w:val="22"/>
      <w:shd w:val="clear" w:color="auto" w:fill="F1F3F5"/>
    </w:rPr>
  </w:style>
  <w:style w:type="character" w:customStyle="1" w:styleId="FunctionTok">
    <w:name w:val="FunctionTok"/>
    <w:basedOn w:val="VerbatimChar"/>
    <w:rPr>
      <w:rFonts w:ascii="Consolas" w:hAnsi="Consolas"/>
      <w:color w:val="4758AB"/>
      <w:sz w:val="22"/>
      <w:shd w:val="clear" w:color="auto" w:fill="F1F3F5"/>
    </w:rPr>
  </w:style>
  <w:style w:type="character" w:customStyle="1" w:styleId="VariableTok">
    <w:name w:val="VariableTok"/>
    <w:basedOn w:val="VerbatimChar"/>
    <w:rPr>
      <w:rFonts w:ascii="Consolas" w:hAnsi="Consolas"/>
      <w:color w:val="111111"/>
      <w:sz w:val="22"/>
      <w:shd w:val="clear" w:color="auto" w:fill="F1F3F5"/>
    </w:rPr>
  </w:style>
  <w:style w:type="character" w:customStyle="1" w:styleId="ControlFlowTok">
    <w:name w:val="ControlFlowTok"/>
    <w:basedOn w:val="VerbatimChar"/>
    <w:rPr>
      <w:rFonts w:ascii="Consolas" w:hAnsi="Consolas"/>
      <w:color w:val="003B4F"/>
      <w:sz w:val="22"/>
      <w:shd w:val="clear" w:color="auto" w:fill="F1F3F5"/>
    </w:rPr>
  </w:style>
  <w:style w:type="character" w:customStyle="1" w:styleId="OperatorTok">
    <w:name w:val="OperatorTok"/>
    <w:basedOn w:val="VerbatimChar"/>
    <w:rPr>
      <w:rFonts w:ascii="Consolas" w:hAnsi="Consolas"/>
      <w:color w:val="5E5E5E"/>
      <w:sz w:val="22"/>
      <w:shd w:val="clear" w:color="auto" w:fill="F1F3F5"/>
    </w:rPr>
  </w:style>
  <w:style w:type="character" w:customStyle="1" w:styleId="BuiltInTok">
    <w:name w:val="BuiltInTok"/>
    <w:basedOn w:val="VerbatimChar"/>
    <w:rPr>
      <w:rFonts w:ascii="Consolas" w:hAnsi="Consolas"/>
      <w:color w:val="003B4F"/>
      <w:sz w:val="22"/>
      <w:shd w:val="clear" w:color="auto" w:fill="F1F3F5"/>
    </w:rPr>
  </w:style>
  <w:style w:type="character" w:customStyle="1" w:styleId="ExtensionTok">
    <w:name w:val="ExtensionTok"/>
    <w:basedOn w:val="VerbatimChar"/>
    <w:rPr>
      <w:rFonts w:ascii="Consolas" w:hAnsi="Consolas"/>
      <w:color w:val="003B4F"/>
      <w:sz w:val="22"/>
      <w:shd w:val="clear" w:color="auto" w:fill="F1F3F5"/>
    </w:rPr>
  </w:style>
  <w:style w:type="character" w:customStyle="1" w:styleId="PreprocessorTok">
    <w:name w:val="PreprocessorTok"/>
    <w:basedOn w:val="VerbatimChar"/>
    <w:rPr>
      <w:rFonts w:ascii="Consolas" w:hAnsi="Consolas"/>
      <w:color w:val="AD0000"/>
      <w:sz w:val="22"/>
      <w:shd w:val="clear" w:color="auto" w:fill="F1F3F5"/>
    </w:rPr>
  </w:style>
  <w:style w:type="character" w:customStyle="1" w:styleId="AttributeTok">
    <w:name w:val="AttributeTok"/>
    <w:basedOn w:val="VerbatimChar"/>
    <w:rPr>
      <w:rFonts w:ascii="Consolas" w:hAnsi="Consolas"/>
      <w:color w:val="657422"/>
      <w:sz w:val="22"/>
      <w:shd w:val="clear" w:color="auto" w:fill="F1F3F5"/>
    </w:rPr>
  </w:style>
  <w:style w:type="character" w:customStyle="1" w:styleId="RegionMarkerTok">
    <w:name w:val="RegionMarkerTok"/>
    <w:basedOn w:val="VerbatimChar"/>
    <w:rPr>
      <w:rFonts w:ascii="Consolas" w:hAnsi="Consolas"/>
      <w:color w:val="003B4F"/>
      <w:sz w:val="22"/>
      <w:shd w:val="clear" w:color="auto" w:fill="F1F3F5"/>
    </w:rPr>
  </w:style>
  <w:style w:type="character" w:customStyle="1" w:styleId="InformationTok">
    <w:name w:val="InformationTok"/>
    <w:basedOn w:val="VerbatimChar"/>
    <w:rPr>
      <w:rFonts w:ascii="Consolas" w:hAnsi="Consolas"/>
      <w:color w:val="5E5E5E"/>
      <w:sz w:val="22"/>
      <w:shd w:val="clear" w:color="auto" w:fill="F1F3F5"/>
    </w:rPr>
  </w:style>
  <w:style w:type="character" w:customStyle="1" w:styleId="WarningTok">
    <w:name w:val="WarningTok"/>
    <w:basedOn w:val="VerbatimChar"/>
    <w:rPr>
      <w:rFonts w:ascii="Consolas" w:hAnsi="Consolas"/>
      <w:i/>
      <w:color w:val="5E5E5E"/>
      <w:sz w:val="22"/>
      <w:shd w:val="clear" w:color="auto" w:fill="F1F3F5"/>
    </w:rPr>
  </w:style>
  <w:style w:type="character" w:customStyle="1" w:styleId="AlertTok">
    <w:name w:val="AlertTok"/>
    <w:basedOn w:val="VerbatimChar"/>
    <w:rPr>
      <w:rFonts w:ascii="Consolas" w:hAnsi="Consolas"/>
      <w:color w:val="AD0000"/>
      <w:sz w:val="22"/>
      <w:shd w:val="clear" w:color="auto" w:fill="F1F3F5"/>
    </w:rPr>
  </w:style>
  <w:style w:type="character" w:customStyle="1" w:styleId="ErrorTok">
    <w:name w:val="ErrorTok"/>
    <w:basedOn w:val="VerbatimChar"/>
    <w:rPr>
      <w:rFonts w:ascii="Consolas" w:hAnsi="Consolas"/>
      <w:color w:val="AD0000"/>
      <w:sz w:val="22"/>
      <w:shd w:val="clear" w:color="auto" w:fill="F1F3F5"/>
    </w:rPr>
  </w:style>
  <w:style w:type="character" w:customStyle="1" w:styleId="NormalTok">
    <w:name w:val="NormalTok"/>
    <w:basedOn w:val="VerbatimChar"/>
    <w:rPr>
      <w:rFonts w:ascii="Consolas" w:hAnsi="Consolas"/>
      <w:color w:val="003B4F"/>
      <w:sz w:val="22"/>
      <w:shd w:val="clear" w:color="auto" w:fill="F1F3F5"/>
    </w:rPr>
  </w:style>
  <w:style w:type="paragraph" w:styleId="Header">
    <w:name w:val="header"/>
    <w:basedOn w:val="Normal"/>
    <w:link w:val="HeaderChar"/>
    <w:rsid w:val="00FC2CEC"/>
    <w:pPr>
      <w:tabs>
        <w:tab w:val="center" w:pos="4513"/>
        <w:tab w:val="right" w:pos="9026"/>
      </w:tabs>
      <w:spacing w:after="0"/>
    </w:pPr>
  </w:style>
  <w:style w:type="character" w:customStyle="1" w:styleId="HeaderChar">
    <w:name w:val="Header Char"/>
    <w:basedOn w:val="DefaultParagraphFont"/>
    <w:link w:val="Header"/>
    <w:rsid w:val="00FC2CEC"/>
  </w:style>
  <w:style w:type="paragraph" w:styleId="Footer">
    <w:name w:val="footer"/>
    <w:basedOn w:val="Normal"/>
    <w:link w:val="FooterChar"/>
    <w:rsid w:val="00FC2CEC"/>
    <w:pPr>
      <w:tabs>
        <w:tab w:val="center" w:pos="4513"/>
        <w:tab w:val="right" w:pos="9026"/>
      </w:tabs>
      <w:spacing w:after="0"/>
    </w:pPr>
  </w:style>
  <w:style w:type="character" w:customStyle="1" w:styleId="FooterChar">
    <w:name w:val="Footer Char"/>
    <w:basedOn w:val="DefaultParagraphFont"/>
    <w:link w:val="Footer"/>
    <w:rsid w:val="00FC2CEC"/>
  </w:style>
  <w:style w:type="character" w:customStyle="1" w:styleId="BodyTextChar">
    <w:name w:val="Body Text Char"/>
    <w:basedOn w:val="DefaultParagraphFont"/>
    <w:link w:val="BodyText"/>
    <w:rsid w:val="00CB10C8"/>
  </w:style>
  <w:style w:type="character" w:customStyle="1" w:styleId="Heading4Char">
    <w:name w:val="Heading 4 Char"/>
    <w:basedOn w:val="DefaultParagraphFont"/>
    <w:link w:val="Heading4"/>
    <w:uiPriority w:val="9"/>
    <w:rsid w:val="000B4AFB"/>
    <w:rPr>
      <w:rFonts w:asciiTheme="majorHAnsi" w:eastAsiaTheme="majorEastAsia" w:hAnsiTheme="majorHAnsi" w:cstheme="majorBidi"/>
      <w:bCs/>
      <w:i/>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www.nicedsu.org.uk/" TargetMode="External"/><Relationship Id="rId2" Type="http://schemas.openxmlformats.org/officeDocument/2006/relationships/hyperlink" Target="https://www.nice.org.uk/process/pmg36" TargetMode="External"/><Relationship Id="rId1" Type="http://schemas.openxmlformats.org/officeDocument/2006/relationships/hyperlink" Target="https://dx.doi.org/10.1093/ije/dyz137"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3.png"/><Relationship Id="rId1" Type="http://schemas.openxmlformats.org/officeDocument/2006/relationships/image" Target="media/image1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E23CB2CFF5870459BFB2D78F57472D6" ma:contentTypeVersion="15" ma:contentTypeDescription="Create a new document." ma:contentTypeScope="" ma:versionID="cd5799cbbfa639d442fba2f5434f71b9">
  <xsd:schema xmlns:xsd="http://www.w3.org/2001/XMLSchema" xmlns:xs="http://www.w3.org/2001/XMLSchema" xmlns:p="http://schemas.microsoft.com/office/2006/metadata/properties" xmlns:ns1="http://schemas.microsoft.com/sharepoint/v3" xmlns:ns2="1aadd836-80f1-47a2-9236-7bacc5907cb7" xmlns:ns3="684165cd-842c-43c4-a495-7af445cdea15" targetNamespace="http://schemas.microsoft.com/office/2006/metadata/properties" ma:root="true" ma:fieldsID="4f6337f8995200a8da45c59caf85790e" ns1:_="" ns2:_="" ns3:_="">
    <xsd:import namespace="http://schemas.microsoft.com/sharepoint/v3"/>
    <xsd:import namespace="1aadd836-80f1-47a2-9236-7bacc5907cb7"/>
    <xsd:import namespace="684165cd-842c-43c4-a495-7af445cdea15"/>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1:_ip_UnifiedCompliancePolicyProperties" minOccurs="0"/>
                <xsd:element ref="ns1:_ip_UnifiedCompliancePolicyUIAction"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SearchPropertie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3" nillable="true" ma:displayName="Unified Compliance Policy Properties" ma:hidden="true" ma:internalName="_ip_UnifiedCompliancePolicyProperties">
      <xsd:simpleType>
        <xsd:restriction base="dms:Note"/>
      </xsd:simpleType>
    </xsd:element>
    <xsd:element name="_ip_UnifiedCompliancePolicyUIAction" ma:index="1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aadd836-80f1-47a2-9236-7bacc5907cb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58a6c7ad-bc9e-47cd-8baa-0cd375ee5e2b}" ma:internalName="TaxCatchAll" ma:showField="CatchAllData" ma:web="1aadd836-80f1-47a2-9236-7bacc5907cb7">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84165cd-842c-43c4-a495-7af445cdea1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DateTaken" ma:index="22"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1aadd836-80f1-47a2-9236-7bacc5907cb7" xsi:nil="true"/>
    <_ip_UnifiedCompliancePolicyProperties xmlns="http://schemas.microsoft.com/sharepoint/v3" xsi:nil="true"/>
    <lcf76f155ced4ddcb4097134ff3c332f xmlns="684165cd-842c-43c4-a495-7af445cdea1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65A8732-85D2-42C4-9432-E173281AB8DB}">
  <ds:schemaRefs>
    <ds:schemaRef ds:uri="http://schemas.microsoft.com/sharepoint/v3/contenttype/forms"/>
  </ds:schemaRefs>
</ds:datastoreItem>
</file>

<file path=customXml/itemProps2.xml><?xml version="1.0" encoding="utf-8"?>
<ds:datastoreItem xmlns:ds="http://schemas.openxmlformats.org/officeDocument/2006/customXml" ds:itemID="{2F60F79D-CD28-45F4-BEF6-1DB8B7932F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aadd836-80f1-47a2-9236-7bacc5907cb7"/>
    <ds:schemaRef ds:uri="684165cd-842c-43c4-a495-7af445cdea1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F2E37C8-2A65-4436-AACE-8788D3C22DB6}">
  <ds:schemaRefs>
    <ds:schemaRef ds:uri="http://schemas.microsoft.com/office/2006/metadata/properties"/>
    <ds:schemaRef ds:uri="http://schemas.microsoft.com/office/infopath/2007/PartnerControls"/>
    <ds:schemaRef ds:uri="http://schemas.microsoft.com/sharepoint/v3"/>
    <ds:schemaRef ds:uri="1aadd836-80f1-47a2-9236-7bacc5907cb7"/>
    <ds:schemaRef ds:uri="684165cd-842c-43c4-a495-7af445cdea15"/>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16</Pages>
  <Words>1815</Words>
  <Characters>10349</Characters>
  <Application>Microsoft Office Word</Application>
  <DocSecurity>4</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12140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Robert Willans</dc:creator>
  <cp:keywords/>
  <cp:lastModifiedBy>MAKIN, William (NHS ENGLAND)</cp:lastModifiedBy>
  <cp:revision>2</cp:revision>
  <dcterms:created xsi:type="dcterms:W3CDTF">2026-05-13T09:33:00Z</dcterms:created>
  <dcterms:modified xsi:type="dcterms:W3CDTF">2026-05-13T09:33:00Z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iblio-config">
    <vt:lpwstr>True</vt:lpwstr>
  </property>
  <property fmtid="{D5CDD505-2E9C-101B-9397-08002B2CF9AE}" pid="3" name="bibliography">
    <vt:lpwstr>ta_refs.bib</vt:lpwstr>
  </property>
  <property fmtid="{D5CDD505-2E9C-101B-9397-08002B2CF9AE}" pid="4" name="csl">
    <vt:lpwstr>chicago-note.csl</vt:lpwstr>
  </property>
  <property fmtid="{D5CDD505-2E9C-101B-9397-08002B2CF9AE}" pid="5" name="execute">
    <vt:lpwstr/>
  </property>
  <property fmtid="{D5CDD505-2E9C-101B-9397-08002B2CF9AE}" pid="6" name="fig-cap-location">
    <vt:lpwstr>top</vt:lpwstr>
  </property>
  <property fmtid="{D5CDD505-2E9C-101B-9397-08002B2CF9AE}" pid="7" name="header-includes">
    <vt:lpwstr/>
  </property>
  <property fmtid="{D5CDD505-2E9C-101B-9397-08002B2CF9AE}" pid="8" name="include-after">
    <vt:lpwstr/>
  </property>
  <property fmtid="{D5CDD505-2E9C-101B-9397-08002B2CF9AE}" pid="9" name="include-before">
    <vt:lpwstr/>
  </property>
  <property fmtid="{D5CDD505-2E9C-101B-9397-08002B2CF9AE}" pid="10" name="labels">
    <vt:lpwstr/>
  </property>
  <property fmtid="{D5CDD505-2E9C-101B-9397-08002B2CF9AE}" pid="11" name="pagetitle">
    <vt:lpwstr>Age and overall survival for platinum-resistant advanced epithelial ovarian, fallopian tube or primary peritoneal cancer</vt:lpwstr>
  </property>
  <property fmtid="{D5CDD505-2E9C-101B-9397-08002B2CF9AE}" pid="12" name="tbl-cap-location">
    <vt:lpwstr>top</vt:lpwstr>
  </property>
  <property fmtid="{D5CDD505-2E9C-101B-9397-08002B2CF9AE}" pid="13" name="toc-title">
    <vt:lpwstr>Table of contents</vt:lpwstr>
  </property>
  <property fmtid="{D5CDD505-2E9C-101B-9397-08002B2CF9AE}" pid="14" name="ContentTypeId">
    <vt:lpwstr>0x0101006E23CB2CFF5870459BFB2D78F57472D6</vt:lpwstr>
  </property>
  <property fmtid="{D5CDD505-2E9C-101B-9397-08002B2CF9AE}" pid="15" name="MSIP_Label_c69d85d5-6d9e-4305-a294-1f636ec0f2d6_Enabled">
    <vt:lpwstr>true</vt:lpwstr>
  </property>
  <property fmtid="{D5CDD505-2E9C-101B-9397-08002B2CF9AE}" pid="16" name="MSIP_Label_c69d85d5-6d9e-4305-a294-1f636ec0f2d6_SetDate">
    <vt:lpwstr>2026-05-06T12:03:53Z</vt:lpwstr>
  </property>
  <property fmtid="{D5CDD505-2E9C-101B-9397-08002B2CF9AE}" pid="17" name="MSIP_Label_c69d85d5-6d9e-4305-a294-1f636ec0f2d6_Method">
    <vt:lpwstr>Standard</vt:lpwstr>
  </property>
  <property fmtid="{D5CDD505-2E9C-101B-9397-08002B2CF9AE}" pid="18" name="MSIP_Label_c69d85d5-6d9e-4305-a294-1f636ec0f2d6_Name">
    <vt:lpwstr>OFFICIAL</vt:lpwstr>
  </property>
  <property fmtid="{D5CDD505-2E9C-101B-9397-08002B2CF9AE}" pid="19" name="MSIP_Label_c69d85d5-6d9e-4305-a294-1f636ec0f2d6_SiteId">
    <vt:lpwstr>6030f479-b342-472d-a5dd-740ff7538de9</vt:lpwstr>
  </property>
  <property fmtid="{D5CDD505-2E9C-101B-9397-08002B2CF9AE}" pid="20" name="MSIP_Label_c69d85d5-6d9e-4305-a294-1f636ec0f2d6_ActionId">
    <vt:lpwstr>474c1bc4-026e-434d-8c23-0d6ed53f9139</vt:lpwstr>
  </property>
  <property fmtid="{D5CDD505-2E9C-101B-9397-08002B2CF9AE}" pid="21" name="MSIP_Label_c69d85d5-6d9e-4305-a294-1f636ec0f2d6_ContentBits">
    <vt:lpwstr>0</vt:lpwstr>
  </property>
  <property fmtid="{D5CDD505-2E9C-101B-9397-08002B2CF9AE}" pid="22" name="MSIP_Label_c69d85d5-6d9e-4305-a294-1f636ec0f2d6_Tag">
    <vt:lpwstr>10, 3, 0, 1</vt:lpwstr>
  </property>
</Properties>
</file>