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EDBDB" w14:textId="77777777" w:rsidR="007B14AF" w:rsidRPr="00AE18F8" w:rsidRDefault="007B14AF" w:rsidP="007B14AF">
      <w:bookmarkStart w:id="0" w:name="ndrs-nice-partnership-report"/>
      <w:r w:rsidRPr="00AE18F8">
        <w:t>Correction Notice:</w:t>
      </w:r>
    </w:p>
    <w:p w14:paraId="39252ABD" w14:textId="77777777" w:rsidR="007B14AF" w:rsidRPr="00AE18F8" w:rsidRDefault="007B14AF" w:rsidP="007B14AF">
      <w:r w:rsidRPr="00AE18F8">
        <w:t>A previous version of this report used an inconsistent snapshot of registrations data, such that the death date field did not match the censor date and consequently some deaths that occurred prior to the censor date were not captured. We have republished the corrected report, along with this summary table of the changes:</w:t>
      </w:r>
    </w:p>
    <w:p w14:paraId="61E567C1" w14:textId="77777777" w:rsidR="007B14AF" w:rsidRPr="00AE18F8" w:rsidRDefault="007B14AF" w:rsidP="007B14AF"/>
    <w:tbl>
      <w:tblPr>
        <w:tblW w:w="0" w:type="auto"/>
        <w:tblLayout w:type="fixed"/>
        <w:tblLook w:val="04A0" w:firstRow="1" w:lastRow="0" w:firstColumn="1" w:lastColumn="0" w:noHBand="0" w:noVBand="1"/>
      </w:tblPr>
      <w:tblGrid>
        <w:gridCol w:w="2007"/>
        <w:gridCol w:w="936"/>
        <w:gridCol w:w="956"/>
        <w:gridCol w:w="597"/>
        <w:gridCol w:w="794"/>
        <w:gridCol w:w="859"/>
      </w:tblGrid>
      <w:tr w:rsidR="00AE18F8" w:rsidRPr="00AE18F8" w14:paraId="6E68791E" w14:textId="77777777" w:rsidTr="00A26B49">
        <w:trPr>
          <w:trHeight w:val="990"/>
        </w:trPr>
        <w:tc>
          <w:tcPr>
            <w:tcW w:w="2007" w:type="dxa"/>
            <w:vMerge w:val="restart"/>
            <w:tcBorders>
              <w:top w:val="nil"/>
              <w:left w:val="nil"/>
              <w:bottom w:val="nil"/>
              <w:right w:val="nil"/>
            </w:tcBorders>
            <w:noWrap/>
            <w:vAlign w:val="bottom"/>
            <w:hideMark/>
          </w:tcPr>
          <w:p w14:paraId="38CA41D0" w14:textId="007E0E25" w:rsidR="0021390E" w:rsidRPr="00AE18F8" w:rsidRDefault="0021390E" w:rsidP="007A5BF7">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Population:</w:t>
            </w:r>
          </w:p>
        </w:tc>
        <w:tc>
          <w:tcPr>
            <w:tcW w:w="1892" w:type="dxa"/>
            <w:gridSpan w:val="2"/>
            <w:tcBorders>
              <w:top w:val="nil"/>
              <w:left w:val="nil"/>
              <w:bottom w:val="nil"/>
              <w:right w:val="nil"/>
            </w:tcBorders>
            <w:vAlign w:val="center"/>
            <w:hideMark/>
          </w:tcPr>
          <w:p w14:paraId="68A831D9" w14:textId="77777777" w:rsidR="0021390E" w:rsidRPr="00AE18F8" w:rsidRDefault="0021390E" w:rsidP="0038754C">
            <w:pPr>
              <w:spacing w:after="0"/>
              <w:jc w:val="center"/>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Restricted mean survival - whole curve</w:t>
            </w:r>
            <w:r w:rsidRPr="00AE18F8">
              <w:rPr>
                <w:rFonts w:ascii="Aptos Narrow" w:eastAsia="Times New Roman" w:hAnsi="Aptos Narrow" w:cs="Times New Roman"/>
                <w:sz w:val="16"/>
                <w:szCs w:val="16"/>
                <w:lang w:val="en-GB" w:eastAsia="en-GB"/>
              </w:rPr>
              <w:br/>
              <w:t>(months)</w:t>
            </w:r>
          </w:p>
        </w:tc>
        <w:tc>
          <w:tcPr>
            <w:tcW w:w="593" w:type="dxa"/>
            <w:tcBorders>
              <w:top w:val="nil"/>
              <w:left w:val="nil"/>
              <w:bottom w:val="nil"/>
              <w:right w:val="nil"/>
            </w:tcBorders>
            <w:vAlign w:val="center"/>
            <w:hideMark/>
          </w:tcPr>
          <w:p w14:paraId="22F5BBED" w14:textId="77777777" w:rsidR="0021390E" w:rsidRPr="00AE18F8" w:rsidRDefault="0021390E" w:rsidP="0038754C">
            <w:pPr>
              <w:spacing w:after="0"/>
              <w:jc w:val="center"/>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 xml:space="preserve"> At risk </w:t>
            </w:r>
          </w:p>
        </w:tc>
        <w:tc>
          <w:tcPr>
            <w:tcW w:w="794" w:type="dxa"/>
            <w:tcBorders>
              <w:top w:val="nil"/>
              <w:left w:val="nil"/>
              <w:bottom w:val="nil"/>
              <w:right w:val="nil"/>
            </w:tcBorders>
            <w:vAlign w:val="center"/>
            <w:hideMark/>
          </w:tcPr>
          <w:p w14:paraId="483744D8" w14:textId="77777777"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 xml:space="preserve"> Events </w:t>
            </w:r>
          </w:p>
        </w:tc>
        <w:tc>
          <w:tcPr>
            <w:tcW w:w="859" w:type="dxa"/>
            <w:tcBorders>
              <w:top w:val="nil"/>
              <w:left w:val="nil"/>
              <w:bottom w:val="nil"/>
              <w:right w:val="nil"/>
            </w:tcBorders>
            <w:vAlign w:val="center"/>
            <w:hideMark/>
          </w:tcPr>
          <w:p w14:paraId="0B58F2D4" w14:textId="77777777" w:rsidR="0021390E" w:rsidRPr="00AE18F8" w:rsidRDefault="0021390E" w:rsidP="0038754C">
            <w:pPr>
              <w:spacing w:after="0"/>
              <w:rPr>
                <w:rFonts w:ascii="Aptos Narrow" w:eastAsia="Times New Roman" w:hAnsi="Aptos Narrow" w:cs="Times New Roman"/>
                <w:sz w:val="16"/>
                <w:szCs w:val="16"/>
                <w:lang w:val="en-GB" w:eastAsia="en-GB"/>
              </w:rPr>
            </w:pPr>
          </w:p>
        </w:tc>
      </w:tr>
      <w:tr w:rsidR="00AE18F8" w:rsidRPr="00AE18F8" w14:paraId="6AB5F760" w14:textId="77777777" w:rsidTr="0021390E">
        <w:trPr>
          <w:trHeight w:val="300"/>
        </w:trPr>
        <w:tc>
          <w:tcPr>
            <w:tcW w:w="2007" w:type="dxa"/>
            <w:vMerge/>
            <w:tcBorders>
              <w:top w:val="nil"/>
              <w:left w:val="nil"/>
              <w:bottom w:val="nil"/>
              <w:right w:val="nil"/>
            </w:tcBorders>
            <w:vAlign w:val="center"/>
            <w:hideMark/>
          </w:tcPr>
          <w:p w14:paraId="38FB6664" w14:textId="77777777" w:rsidR="0021390E" w:rsidRPr="00AE18F8" w:rsidRDefault="0021390E" w:rsidP="0038754C">
            <w:pPr>
              <w:spacing w:after="0"/>
              <w:rPr>
                <w:rFonts w:ascii="Aptos Narrow" w:eastAsia="Times New Roman" w:hAnsi="Aptos Narrow" w:cs="Times New Roman"/>
                <w:sz w:val="16"/>
                <w:szCs w:val="16"/>
                <w:lang w:val="en-GB" w:eastAsia="en-GB"/>
              </w:rPr>
            </w:pPr>
          </w:p>
        </w:tc>
        <w:tc>
          <w:tcPr>
            <w:tcW w:w="936" w:type="dxa"/>
            <w:tcBorders>
              <w:top w:val="nil"/>
              <w:left w:val="nil"/>
              <w:bottom w:val="nil"/>
              <w:right w:val="nil"/>
            </w:tcBorders>
            <w:noWrap/>
            <w:vAlign w:val="bottom"/>
            <w:hideMark/>
          </w:tcPr>
          <w:p w14:paraId="73AB7B00" w14:textId="77777777"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Previous</w:t>
            </w:r>
          </w:p>
        </w:tc>
        <w:tc>
          <w:tcPr>
            <w:tcW w:w="956" w:type="dxa"/>
            <w:tcBorders>
              <w:top w:val="nil"/>
              <w:left w:val="nil"/>
              <w:bottom w:val="nil"/>
              <w:right w:val="nil"/>
            </w:tcBorders>
            <w:noWrap/>
            <w:vAlign w:val="bottom"/>
            <w:hideMark/>
          </w:tcPr>
          <w:p w14:paraId="149A9967" w14:textId="77777777"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Corrected</w:t>
            </w:r>
          </w:p>
        </w:tc>
        <w:tc>
          <w:tcPr>
            <w:tcW w:w="597" w:type="dxa"/>
            <w:tcBorders>
              <w:top w:val="nil"/>
              <w:left w:val="nil"/>
              <w:bottom w:val="nil"/>
              <w:right w:val="nil"/>
            </w:tcBorders>
            <w:noWrap/>
            <w:vAlign w:val="bottom"/>
            <w:hideMark/>
          </w:tcPr>
          <w:p w14:paraId="2E301C9D" w14:textId="77777777" w:rsidR="0021390E" w:rsidRPr="00AE18F8" w:rsidRDefault="0021390E" w:rsidP="0038754C">
            <w:pPr>
              <w:spacing w:after="0"/>
              <w:rPr>
                <w:rFonts w:ascii="Aptos Narrow" w:eastAsia="Times New Roman" w:hAnsi="Aptos Narrow" w:cs="Times New Roman"/>
                <w:sz w:val="16"/>
                <w:szCs w:val="16"/>
                <w:lang w:val="en-GB" w:eastAsia="en-GB"/>
              </w:rPr>
            </w:pPr>
          </w:p>
        </w:tc>
        <w:tc>
          <w:tcPr>
            <w:tcW w:w="794" w:type="dxa"/>
            <w:tcBorders>
              <w:top w:val="nil"/>
              <w:left w:val="nil"/>
              <w:bottom w:val="nil"/>
              <w:right w:val="nil"/>
            </w:tcBorders>
            <w:noWrap/>
            <w:vAlign w:val="bottom"/>
            <w:hideMark/>
          </w:tcPr>
          <w:p w14:paraId="06C673C7" w14:textId="77777777"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 xml:space="preserve"> Previous </w:t>
            </w:r>
          </w:p>
        </w:tc>
        <w:tc>
          <w:tcPr>
            <w:tcW w:w="859" w:type="dxa"/>
            <w:tcBorders>
              <w:top w:val="nil"/>
              <w:left w:val="nil"/>
              <w:bottom w:val="nil"/>
              <w:right w:val="nil"/>
            </w:tcBorders>
            <w:noWrap/>
            <w:vAlign w:val="bottom"/>
            <w:hideMark/>
          </w:tcPr>
          <w:p w14:paraId="06544A60" w14:textId="77777777"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Corrected</w:t>
            </w:r>
          </w:p>
        </w:tc>
      </w:tr>
      <w:tr w:rsidR="0021390E" w:rsidRPr="00AE18F8" w14:paraId="6450B583" w14:textId="77777777" w:rsidTr="0021390E">
        <w:trPr>
          <w:trHeight w:val="975"/>
        </w:trPr>
        <w:tc>
          <w:tcPr>
            <w:tcW w:w="2007" w:type="dxa"/>
            <w:tcBorders>
              <w:top w:val="nil"/>
              <w:left w:val="nil"/>
              <w:bottom w:val="nil"/>
              <w:right w:val="nil"/>
            </w:tcBorders>
            <w:vAlign w:val="bottom"/>
            <w:hideMark/>
          </w:tcPr>
          <w:p w14:paraId="61E0080C" w14:textId="06081E46" w:rsidR="0021390E" w:rsidRPr="00AE18F8" w:rsidRDefault="0021390E" w:rsidP="0038754C">
            <w:pPr>
              <w:spacing w:after="0"/>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chronic lymphocytic leukaemia treated with venetoclax with obinutuzumab (</w:t>
            </w:r>
            <w:proofErr w:type="spellStart"/>
            <w:r w:rsidRPr="00AE18F8">
              <w:rPr>
                <w:rFonts w:ascii="Aptos Narrow" w:eastAsia="Times New Roman" w:hAnsi="Aptos Narrow" w:cs="Times New Roman"/>
                <w:sz w:val="16"/>
                <w:szCs w:val="16"/>
                <w:lang w:val="en-GB" w:eastAsia="en-GB"/>
              </w:rPr>
              <w:t>VenO</w:t>
            </w:r>
            <w:proofErr w:type="spellEnd"/>
            <w:r w:rsidRPr="00AE18F8">
              <w:rPr>
                <w:rFonts w:ascii="Aptos Narrow" w:eastAsia="Times New Roman" w:hAnsi="Aptos Narrow" w:cs="Times New Roman"/>
                <w:sz w:val="16"/>
                <w:szCs w:val="16"/>
                <w:lang w:val="en-GB" w:eastAsia="en-GB"/>
              </w:rPr>
              <w:t>; cohort 1)</w:t>
            </w:r>
          </w:p>
        </w:tc>
        <w:tc>
          <w:tcPr>
            <w:tcW w:w="936" w:type="dxa"/>
            <w:tcBorders>
              <w:top w:val="nil"/>
              <w:left w:val="nil"/>
              <w:bottom w:val="nil"/>
              <w:right w:val="nil"/>
            </w:tcBorders>
            <w:noWrap/>
            <w:vAlign w:val="center"/>
            <w:hideMark/>
          </w:tcPr>
          <w:p w14:paraId="47E55661" w14:textId="4FD81635" w:rsidR="0021390E" w:rsidRPr="00AE18F8" w:rsidRDefault="0021390E" w:rsidP="0038754C">
            <w:pPr>
              <w:spacing w:after="0"/>
              <w:jc w:val="right"/>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54.38</w:t>
            </w:r>
          </w:p>
        </w:tc>
        <w:tc>
          <w:tcPr>
            <w:tcW w:w="956" w:type="dxa"/>
            <w:tcBorders>
              <w:top w:val="nil"/>
              <w:left w:val="nil"/>
              <w:bottom w:val="nil"/>
              <w:right w:val="nil"/>
            </w:tcBorders>
            <w:noWrap/>
            <w:vAlign w:val="center"/>
            <w:hideMark/>
          </w:tcPr>
          <w:p w14:paraId="442F928B" w14:textId="4B275892" w:rsidR="0021390E" w:rsidRPr="00AE18F8" w:rsidRDefault="00B778BD" w:rsidP="0038754C">
            <w:pPr>
              <w:spacing w:after="0"/>
              <w:jc w:val="right"/>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54.09</w:t>
            </w:r>
          </w:p>
        </w:tc>
        <w:tc>
          <w:tcPr>
            <w:tcW w:w="597" w:type="dxa"/>
            <w:tcBorders>
              <w:top w:val="nil"/>
              <w:left w:val="nil"/>
              <w:bottom w:val="nil"/>
              <w:right w:val="nil"/>
            </w:tcBorders>
            <w:noWrap/>
            <w:vAlign w:val="center"/>
          </w:tcPr>
          <w:p w14:paraId="149A39BB" w14:textId="55F7A99A" w:rsidR="0021390E" w:rsidRPr="00AE18F8" w:rsidRDefault="0021390E" w:rsidP="0038754C">
            <w:pPr>
              <w:spacing w:after="0"/>
              <w:jc w:val="right"/>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1025</w:t>
            </w:r>
          </w:p>
        </w:tc>
        <w:tc>
          <w:tcPr>
            <w:tcW w:w="794" w:type="dxa"/>
            <w:tcBorders>
              <w:top w:val="nil"/>
              <w:left w:val="nil"/>
              <w:bottom w:val="nil"/>
              <w:right w:val="nil"/>
            </w:tcBorders>
            <w:noWrap/>
            <w:vAlign w:val="center"/>
          </w:tcPr>
          <w:p w14:paraId="7BA5864F" w14:textId="3EDD49CE" w:rsidR="0021390E" w:rsidRPr="00AE18F8" w:rsidRDefault="0021390E" w:rsidP="0038754C">
            <w:pPr>
              <w:spacing w:after="0"/>
              <w:jc w:val="right"/>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68</w:t>
            </w:r>
          </w:p>
        </w:tc>
        <w:tc>
          <w:tcPr>
            <w:tcW w:w="859" w:type="dxa"/>
            <w:tcBorders>
              <w:top w:val="nil"/>
              <w:left w:val="nil"/>
              <w:bottom w:val="nil"/>
              <w:right w:val="nil"/>
            </w:tcBorders>
            <w:noWrap/>
            <w:vAlign w:val="center"/>
          </w:tcPr>
          <w:p w14:paraId="181E7A90" w14:textId="1938D8A3" w:rsidR="0021390E" w:rsidRPr="00AE18F8" w:rsidRDefault="0021390E" w:rsidP="0038754C">
            <w:pPr>
              <w:spacing w:after="0"/>
              <w:jc w:val="right"/>
              <w:rPr>
                <w:rFonts w:ascii="Aptos Narrow" w:eastAsia="Times New Roman" w:hAnsi="Aptos Narrow" w:cs="Times New Roman"/>
                <w:sz w:val="16"/>
                <w:szCs w:val="16"/>
                <w:lang w:val="en-GB" w:eastAsia="en-GB"/>
              </w:rPr>
            </w:pPr>
            <w:r w:rsidRPr="00AE18F8">
              <w:rPr>
                <w:rFonts w:ascii="Aptos Narrow" w:eastAsia="Times New Roman" w:hAnsi="Aptos Narrow" w:cs="Times New Roman"/>
                <w:sz w:val="16"/>
                <w:szCs w:val="16"/>
                <w:lang w:val="en-GB" w:eastAsia="en-GB"/>
              </w:rPr>
              <w:t>74</w:t>
            </w:r>
          </w:p>
        </w:tc>
      </w:tr>
    </w:tbl>
    <w:p w14:paraId="40AC254C" w14:textId="77777777" w:rsidR="007B14AF" w:rsidRPr="00AE18F8" w:rsidRDefault="007B14AF" w:rsidP="007B14AF"/>
    <w:p w14:paraId="271FB2B9" w14:textId="57323113" w:rsidR="007B14AF" w:rsidRPr="00AE18F8" w:rsidRDefault="007B14AF" w:rsidP="007B14AF">
      <w:r w:rsidRPr="00AE18F8">
        <w:t>No changes were made to cohort definitions, treatment classification or methods</w:t>
      </w:r>
      <w:r w:rsidR="008940D4" w:rsidRPr="00AE18F8">
        <w:t>, or deaths in cohort 2</w:t>
      </w:r>
      <w:r w:rsidR="003B45EF" w:rsidRPr="00AE18F8">
        <w:t xml:space="preserve"> (</w:t>
      </w:r>
      <w:proofErr w:type="spellStart"/>
      <w:r w:rsidR="003B45EF" w:rsidRPr="00AE18F8">
        <w:t>Venl</w:t>
      </w:r>
      <w:proofErr w:type="spellEnd"/>
      <w:r w:rsidR="003B45EF" w:rsidRPr="00AE18F8">
        <w:t>)</w:t>
      </w:r>
      <w:r w:rsidRPr="00AE18F8">
        <w:t>.</w:t>
      </w:r>
    </w:p>
    <w:p w14:paraId="06181C15" w14:textId="77777777" w:rsidR="007B14AF" w:rsidRPr="00AE18F8" w:rsidRDefault="007B14AF" w:rsidP="007B14AF"/>
    <w:p w14:paraId="434A45A6" w14:textId="77777777" w:rsidR="007B14AF" w:rsidRPr="00AE18F8" w:rsidRDefault="007B14AF">
      <w:pPr>
        <w:rPr>
          <w:rFonts w:asciiTheme="majorHAnsi" w:eastAsiaTheme="majorEastAsia" w:hAnsiTheme="majorHAnsi" w:cstheme="majorBidi"/>
          <w:b/>
          <w:bCs/>
          <w:sz w:val="36"/>
          <w:szCs w:val="32"/>
        </w:rPr>
      </w:pPr>
      <w:r w:rsidRPr="00AE18F8">
        <w:br w:type="page"/>
      </w:r>
    </w:p>
    <w:p w14:paraId="0DEDFCC7" w14:textId="012D5609" w:rsidR="00192E91" w:rsidRPr="00AE18F8" w:rsidRDefault="001147A4">
      <w:pPr>
        <w:pStyle w:val="Heading1"/>
        <w:rPr>
          <w:color w:val="auto"/>
        </w:rPr>
      </w:pPr>
      <w:r w:rsidRPr="00AE18F8">
        <w:rPr>
          <w:color w:val="auto"/>
        </w:rPr>
        <w:lastRenderedPageBreak/>
        <w:t>NDRS-NICE partnership report</w:t>
      </w:r>
    </w:p>
    <w:p w14:paraId="0DEDFCC8" w14:textId="77777777" w:rsidR="00192E91" w:rsidRPr="00AE18F8" w:rsidRDefault="001147A4">
      <w:pPr>
        <w:pStyle w:val="Heading2"/>
        <w:rPr>
          <w:color w:val="auto"/>
        </w:rPr>
      </w:pPr>
      <w:bookmarkStart w:id="1" w:name="background"/>
      <w:r w:rsidRPr="00AE18F8">
        <w:rPr>
          <w:color w:val="auto"/>
        </w:rPr>
        <w:t>Background</w:t>
      </w:r>
    </w:p>
    <w:p w14:paraId="0DEDFCC9" w14:textId="77777777" w:rsidR="00192E91" w:rsidRPr="00AE18F8" w:rsidRDefault="001147A4">
      <w:pPr>
        <w:pStyle w:val="FirstParagraph"/>
      </w:pPr>
      <w:r w:rsidRPr="00AE18F8">
        <w:t>This report was produced in partnership by the National Disease and Registration Service (NDRS) and National Institute for Health and Care Excellence (NICE). NDRS and NICE have established a partnership focused on routinely collected data to support NICE decision making on the appraisals of cancer treatments. The partnership uses NDRS datasets, including the information submitted by trusts to the Systemic Anti-Cancer Therapy (SACT) dataset,</w:t>
      </w:r>
      <w:r w:rsidRPr="00AE18F8">
        <w:rPr>
          <w:rStyle w:val="FootnoteReference"/>
        </w:rPr>
        <w:footnoteReference w:id="1"/>
      </w:r>
      <w:r w:rsidRPr="00AE18F8">
        <w:t xml:space="preserve"> to provide an understanding of current practice.</w:t>
      </w:r>
    </w:p>
    <w:p w14:paraId="0DEDFCCA" w14:textId="77777777" w:rsidR="00192E91" w:rsidRPr="00AE18F8" w:rsidRDefault="001147A4">
      <w:pPr>
        <w:pStyle w:val="BodyText"/>
      </w:pPr>
      <w:r w:rsidRPr="00AE18F8">
        <w:t>To determine a severity modifier, NICE considers factors such as the age, gender, and overall survival of the patient cohort affected by the disease. Additionally, knowing the time-on-treatment for each therapy is useful, as it validates assumptions made in technology appraisal evaluations about the duration of treatment use.</w:t>
      </w:r>
    </w:p>
    <w:p w14:paraId="0DEDFCCB" w14:textId="77777777" w:rsidR="00192E91" w:rsidRPr="00AE18F8" w:rsidRDefault="001147A4">
      <w:pPr>
        <w:pStyle w:val="BodyText"/>
      </w:pPr>
      <w:r w:rsidRPr="00AE18F8">
        <w:t>This partnership is focused on producing demographic and survival information using NDRS data, alongside supplementary information tailored to each technology appraisal. These may include, for example, the time patients spend on particular treatments, genetic data where this is available, or other information on real-world care pathways. Interpretation of the data is not included in this report, it is the information as provided to the NICE technology appraisal committees. Detail on how NICE health technology appraisals use this data can be found in the NICE health technology evaluations manual,</w:t>
      </w:r>
      <w:r w:rsidRPr="00AE18F8">
        <w:rPr>
          <w:rStyle w:val="FootnoteReference"/>
        </w:rPr>
        <w:footnoteReference w:id="2"/>
      </w:r>
      <w:r w:rsidRPr="00AE18F8">
        <w:t xml:space="preserve"> with specific information relating to the survival analysis modelling available in Technical Support Document (TSD).</w:t>
      </w:r>
      <w:r w:rsidRPr="00AE18F8">
        <w:rPr>
          <w:rStyle w:val="FootnoteReference"/>
        </w:rPr>
        <w:footnoteReference w:id="3"/>
      </w:r>
    </w:p>
    <w:p w14:paraId="0DEDFCCC" w14:textId="77777777" w:rsidR="00192E91" w:rsidRPr="00AE18F8" w:rsidRDefault="001147A4">
      <w:pPr>
        <w:pStyle w:val="BodyText"/>
      </w:pPr>
      <w:r w:rsidRPr="00AE18F8">
        <w:t xml:space="preserve">The focus of this report is the indication </w:t>
      </w:r>
      <w:r w:rsidRPr="00AE18F8">
        <w:rPr>
          <w:b/>
          <w:bCs/>
        </w:rPr>
        <w:t>ID6232: Acalabrutinib and venetoclax (AV) with or without obinutuzumab for untreated chronic lymphocytic leukaemia (CLL)</w:t>
      </w:r>
    </w:p>
    <w:p w14:paraId="0DEDFCCD" w14:textId="77777777" w:rsidR="00192E91" w:rsidRPr="00AE18F8" w:rsidRDefault="001147A4">
      <w:pPr>
        <w:pStyle w:val="BodyText"/>
      </w:pPr>
      <w:r w:rsidRPr="00AE18F8">
        <w:t>Two cohorts were assessed for this indication:</w:t>
      </w:r>
    </w:p>
    <w:p w14:paraId="0DEDFCCE" w14:textId="77777777" w:rsidR="00192E91" w:rsidRPr="00AE18F8" w:rsidRDefault="001147A4">
      <w:pPr>
        <w:numPr>
          <w:ilvl w:val="0"/>
          <w:numId w:val="15"/>
        </w:numPr>
      </w:pPr>
      <w:r w:rsidRPr="00AE18F8">
        <w:t>Cohort 1: Adults with untreated chronic lymphocytic leukaemia who have received venetoclax with obinutuzumab (VenO).</w:t>
      </w:r>
    </w:p>
    <w:p w14:paraId="0DEDFCCF" w14:textId="77777777" w:rsidR="00192E91" w:rsidRPr="00AE18F8" w:rsidRDefault="001147A4">
      <w:pPr>
        <w:numPr>
          <w:ilvl w:val="0"/>
          <w:numId w:val="15"/>
        </w:numPr>
      </w:pPr>
      <w:r w:rsidRPr="00AE18F8">
        <w:t>Cohort 2: Adults with untreated chronic lymphocytic leukaemia who have received venetoclax with ibrutinib (VenI).</w:t>
      </w:r>
    </w:p>
    <w:p w14:paraId="0DEDFCD1" w14:textId="77777777" w:rsidR="00192E91" w:rsidRPr="00AE18F8" w:rsidRDefault="001147A4">
      <w:pPr>
        <w:pStyle w:val="Heading1"/>
        <w:rPr>
          <w:color w:val="auto"/>
        </w:rPr>
      </w:pPr>
      <w:bookmarkStart w:id="2" w:name="X0d0e653b98c985c1e2d71f352580f455de30fef"/>
      <w:bookmarkEnd w:id="0"/>
      <w:bookmarkEnd w:id="1"/>
      <w:r w:rsidRPr="00AE18F8">
        <w:rPr>
          <w:color w:val="auto"/>
        </w:rPr>
        <w:lastRenderedPageBreak/>
        <w:t xml:space="preserve">Age and overall survival </w:t>
      </w:r>
      <w:proofErr w:type="gramStart"/>
      <w:r w:rsidRPr="00AE18F8">
        <w:rPr>
          <w:color w:val="auto"/>
        </w:rPr>
        <w:t>for</w:t>
      </w:r>
      <w:proofErr w:type="gramEnd"/>
      <w:r w:rsidRPr="00AE18F8">
        <w:rPr>
          <w:color w:val="auto"/>
        </w:rPr>
        <w:t xml:space="preserve"> untreated chronic lymphocytic leukaemia treated with venetoclax with obinutuzumab (VenO; cohort 1)</w:t>
      </w:r>
    </w:p>
    <w:p w14:paraId="0DEDFCD2" w14:textId="77777777" w:rsidR="00192E91" w:rsidRPr="00AE18F8" w:rsidRDefault="001147A4">
      <w:pPr>
        <w:pStyle w:val="Heading2"/>
        <w:rPr>
          <w:color w:val="auto"/>
        </w:rPr>
      </w:pPr>
      <w:bookmarkStart w:id="3" w:name="introduction"/>
      <w:r w:rsidRPr="00AE18F8">
        <w:rPr>
          <w:color w:val="auto"/>
        </w:rPr>
        <w:t>Introduction</w:t>
      </w:r>
    </w:p>
    <w:p w14:paraId="0DEDFCD3" w14:textId="77777777" w:rsidR="00192E91" w:rsidRPr="00AE18F8" w:rsidRDefault="001147A4">
      <w:pPr>
        <w:pStyle w:val="FirstParagraph"/>
      </w:pPr>
      <w:r w:rsidRPr="00AE18F8">
        <w:t>This report was produced in partnership by the National Disease and Registration Service (NDRS) and National Institute for Health and Care Excellence (NICE). It presents overall survival and age distributions among patients aged 18 or over with untreated chronic lymphocytic leukemia (CLL) who have received venetoclax with obinutuzumab (VenO; cohort 1).</w:t>
      </w:r>
    </w:p>
    <w:p w14:paraId="0DEDFCD4" w14:textId="77777777" w:rsidR="00192E91" w:rsidRPr="00AE18F8" w:rsidRDefault="001147A4">
      <w:pPr>
        <w:pStyle w:val="Heading2"/>
        <w:rPr>
          <w:color w:val="auto"/>
        </w:rPr>
      </w:pPr>
      <w:bookmarkStart w:id="4" w:name="method"/>
      <w:bookmarkEnd w:id="3"/>
      <w:r w:rsidRPr="00AE18F8">
        <w:rPr>
          <w:color w:val="auto"/>
        </w:rPr>
        <w:t>Method</w:t>
      </w:r>
    </w:p>
    <w:p w14:paraId="0DEDFCD5" w14:textId="77777777" w:rsidR="00192E91" w:rsidRPr="00AE18F8" w:rsidRDefault="001147A4">
      <w:pPr>
        <w:pStyle w:val="FirstParagraph"/>
      </w:pPr>
      <w:r w:rsidRPr="00AE18F8">
        <w:t>A snapshot of SACT data was taken on 7</w:t>
      </w:r>
      <w:r w:rsidRPr="00AE18F8">
        <w:rPr>
          <w:vertAlign w:val="superscript"/>
        </w:rPr>
        <w:t>th</w:t>
      </w:r>
      <w:r w:rsidRPr="00AE18F8">
        <w:t xml:space="preserve"> December 2025 and made available for analysis on 19</w:t>
      </w:r>
      <w:r w:rsidRPr="00AE18F8">
        <w:rPr>
          <w:vertAlign w:val="superscript"/>
        </w:rPr>
        <w:t>th</w:t>
      </w:r>
      <w:r w:rsidRPr="00AE18F8">
        <w:t xml:space="preserve"> December 2025. SACT data is only considered complete when 90% of trusts have submitted data. As a result, SACT data is considered complete up to 31</w:t>
      </w:r>
      <w:r w:rsidRPr="00AE18F8">
        <w:rPr>
          <w:vertAlign w:val="superscript"/>
        </w:rPr>
        <w:t>st</w:t>
      </w:r>
      <w:r w:rsidRPr="00AE18F8">
        <w:t xml:space="preserve"> March 2025. Patients were traced for their vital status on 5</w:t>
      </w:r>
      <w:r w:rsidRPr="00AE18F8">
        <w:rPr>
          <w:vertAlign w:val="superscript"/>
        </w:rPr>
        <w:t>th</w:t>
      </w:r>
      <w:r w:rsidRPr="00AE18F8">
        <w:t xml:space="preserve"> October 2025.</w:t>
      </w:r>
    </w:p>
    <w:p w14:paraId="0DEDFCD6" w14:textId="77777777" w:rsidR="00192E91" w:rsidRPr="00AE18F8" w:rsidRDefault="001147A4">
      <w:pPr>
        <w:pStyle w:val="BodyText"/>
      </w:pPr>
      <w:r w:rsidRPr="00AE18F8">
        <w:t>Descriptive statistics of age were computed, along with Kaplan-Meier estimates and parametric fits for overall survival (OS). Patients were censored at the date of the most recent trace (5</w:t>
      </w:r>
      <w:r w:rsidRPr="00AE18F8">
        <w:rPr>
          <w:vertAlign w:val="superscript"/>
        </w:rPr>
        <w:t>th</w:t>
      </w:r>
      <w:r w:rsidRPr="00AE18F8">
        <w:t xml:space="preserve"> October 2025), representing the last date on which vital status was confirmed. Given the high survival rate in this population, the fitted curves were extrapolated to cover a 10-year period following treatment initiation.</w:t>
      </w:r>
    </w:p>
    <w:p w14:paraId="0DEDFCD7" w14:textId="77777777" w:rsidR="00192E91" w:rsidRPr="00AE18F8" w:rsidRDefault="001147A4">
      <w:pPr>
        <w:pStyle w:val="Heading3"/>
        <w:rPr>
          <w:color w:val="auto"/>
        </w:rPr>
      </w:pPr>
      <w:bookmarkStart w:id="5" w:name="cohort-inclusions-exclusions"/>
      <w:r w:rsidRPr="00AE18F8">
        <w:rPr>
          <w:color w:val="auto"/>
        </w:rPr>
        <w:t>Cohort inclusions / exclusions</w:t>
      </w:r>
    </w:p>
    <w:p w14:paraId="0DEDFCD8" w14:textId="77777777" w:rsidR="00192E91" w:rsidRPr="00AE18F8" w:rsidRDefault="001147A4">
      <w:pPr>
        <w:pStyle w:val="FirstParagraph"/>
      </w:pPr>
      <w:r w:rsidRPr="00AE18F8">
        <w:t>Patients were included if they met all of the following:</w:t>
      </w:r>
    </w:p>
    <w:p w14:paraId="0DEDFCD9" w14:textId="77777777" w:rsidR="00192E91" w:rsidRPr="00AE18F8" w:rsidRDefault="001147A4">
      <w:pPr>
        <w:pStyle w:val="Compact"/>
        <w:numPr>
          <w:ilvl w:val="0"/>
          <w:numId w:val="16"/>
        </w:numPr>
      </w:pPr>
      <w:r w:rsidRPr="00AE18F8">
        <w:t>Diagnosed between 1</w:t>
      </w:r>
      <w:r w:rsidRPr="00AE18F8">
        <w:rPr>
          <w:vertAlign w:val="superscript"/>
        </w:rPr>
        <w:t>st</w:t>
      </w:r>
      <w:r w:rsidRPr="00AE18F8">
        <w:t xml:space="preserve"> April 2018 and 31</w:t>
      </w:r>
      <w:r w:rsidRPr="00AE18F8">
        <w:rPr>
          <w:vertAlign w:val="superscript"/>
        </w:rPr>
        <w:t>st</w:t>
      </w:r>
      <w:r w:rsidRPr="00AE18F8">
        <w:t xml:space="preserve"> December 2023</w:t>
      </w:r>
    </w:p>
    <w:p w14:paraId="0DEDFCDA" w14:textId="77777777" w:rsidR="00192E91" w:rsidRPr="00AE18F8" w:rsidRDefault="001147A4">
      <w:pPr>
        <w:pStyle w:val="Compact"/>
        <w:numPr>
          <w:ilvl w:val="0"/>
          <w:numId w:val="16"/>
        </w:numPr>
      </w:pPr>
      <w:r w:rsidRPr="00AE18F8">
        <w:t>Gender recorded as male or female</w:t>
      </w:r>
    </w:p>
    <w:p w14:paraId="0DEDFCDB" w14:textId="77777777" w:rsidR="00192E91" w:rsidRPr="00AE18F8" w:rsidRDefault="001147A4">
      <w:pPr>
        <w:pStyle w:val="Compact"/>
        <w:numPr>
          <w:ilvl w:val="0"/>
          <w:numId w:val="16"/>
        </w:numPr>
      </w:pPr>
      <w:r w:rsidRPr="00AE18F8">
        <w:t>Country code was ‘England’, based on postcode of residence at diagnosis</w:t>
      </w:r>
    </w:p>
    <w:p w14:paraId="0DEDFCDC" w14:textId="77777777" w:rsidR="00192E91" w:rsidRPr="00AE18F8" w:rsidRDefault="001147A4">
      <w:pPr>
        <w:pStyle w:val="Compact"/>
        <w:numPr>
          <w:ilvl w:val="0"/>
          <w:numId w:val="16"/>
        </w:numPr>
      </w:pPr>
      <w:r w:rsidRPr="00AE18F8">
        <w:t>Age at diagnosis date was 18 or over</w:t>
      </w:r>
    </w:p>
    <w:p w14:paraId="0DEDFCDD" w14:textId="77777777" w:rsidR="00192E91" w:rsidRPr="00AE18F8" w:rsidRDefault="001147A4">
      <w:pPr>
        <w:pStyle w:val="Compact"/>
        <w:numPr>
          <w:ilvl w:val="0"/>
          <w:numId w:val="16"/>
        </w:numPr>
      </w:pPr>
      <w:r w:rsidRPr="00AE18F8">
        <w:t>Diagnosis of CLL confirmed by an ICD-10 code ‘C91.1’ (Chronic lymphocytic leukaemia of B-cell type) and ICD-O-3 morphology code ‘9823/3’ (Chronic lymphocytic leukaemia/small lymphocytic lymphoma)</w:t>
      </w:r>
    </w:p>
    <w:p w14:paraId="0DEDFCDE" w14:textId="77777777" w:rsidR="00192E91" w:rsidRPr="00AE18F8" w:rsidRDefault="001147A4">
      <w:pPr>
        <w:pStyle w:val="Compact"/>
        <w:numPr>
          <w:ilvl w:val="0"/>
          <w:numId w:val="16"/>
        </w:numPr>
      </w:pPr>
      <w:r w:rsidRPr="00AE18F8">
        <w:t>Only one CLL neoplasm recorded during the study period</w:t>
      </w:r>
    </w:p>
    <w:p w14:paraId="0DEDFCDF" w14:textId="77777777" w:rsidR="00192E91" w:rsidRPr="00AE18F8" w:rsidRDefault="001147A4">
      <w:pPr>
        <w:pStyle w:val="Compact"/>
        <w:numPr>
          <w:ilvl w:val="0"/>
          <w:numId w:val="16"/>
        </w:numPr>
      </w:pPr>
      <w:r w:rsidRPr="00AE18F8">
        <w:t>No registration for another malignant neoplasm within the 36 months preceding CLL diagnosis</w:t>
      </w:r>
    </w:p>
    <w:p w14:paraId="0DEDFCE0" w14:textId="77777777" w:rsidR="00192E91" w:rsidRPr="00AE18F8" w:rsidRDefault="001147A4">
      <w:pPr>
        <w:pStyle w:val="Compact"/>
        <w:numPr>
          <w:ilvl w:val="0"/>
          <w:numId w:val="16"/>
        </w:numPr>
      </w:pPr>
      <w:r w:rsidRPr="00AE18F8">
        <w:t>VenO treatment was initiated on or after 9</w:t>
      </w:r>
      <w:r w:rsidRPr="00AE18F8">
        <w:rPr>
          <w:vertAlign w:val="superscript"/>
        </w:rPr>
        <w:t>th</w:t>
      </w:r>
      <w:r w:rsidRPr="00AE18F8">
        <w:t xml:space="preserve"> December 2020 (NICE TA663 publication date). Usage before this point is assumed to be through compassionate use schemes.</w:t>
      </w:r>
    </w:p>
    <w:p w14:paraId="0DEDFCE1" w14:textId="77777777" w:rsidR="00192E91" w:rsidRPr="00AE18F8" w:rsidRDefault="001147A4">
      <w:pPr>
        <w:pStyle w:val="Compact"/>
        <w:numPr>
          <w:ilvl w:val="0"/>
          <w:numId w:val="16"/>
        </w:numPr>
      </w:pPr>
      <w:r w:rsidRPr="00AE18F8">
        <w:t>VenO treatment was initiated on or before the point at which SACT is considered complete (31</w:t>
      </w:r>
      <w:r w:rsidRPr="00AE18F8">
        <w:rPr>
          <w:vertAlign w:val="superscript"/>
        </w:rPr>
        <w:t>st</w:t>
      </w:r>
      <w:r w:rsidRPr="00AE18F8">
        <w:t xml:space="preserve"> March 2025).</w:t>
      </w:r>
    </w:p>
    <w:p w14:paraId="0DEDFCE2" w14:textId="77777777" w:rsidR="00192E91" w:rsidRPr="00AE18F8" w:rsidRDefault="001147A4">
      <w:pPr>
        <w:pStyle w:val="Compact"/>
        <w:numPr>
          <w:ilvl w:val="0"/>
          <w:numId w:val="16"/>
        </w:numPr>
      </w:pPr>
      <w:r w:rsidRPr="00AE18F8">
        <w:lastRenderedPageBreak/>
        <w:t>Individuals were untreated, and had received no prior systemic anti-cancer therapy in the period between 1</w:t>
      </w:r>
      <w:r w:rsidRPr="00AE18F8">
        <w:rPr>
          <w:vertAlign w:val="superscript"/>
        </w:rPr>
        <w:t>st</w:t>
      </w:r>
      <w:r w:rsidRPr="00AE18F8">
        <w:t xml:space="preserve"> April 2018 and the date of VenO initiation. Qualifying prior therapies included:</w:t>
      </w:r>
    </w:p>
    <w:p w14:paraId="0DEDFCE3" w14:textId="77777777" w:rsidR="00192E91" w:rsidRPr="00AE18F8" w:rsidRDefault="001147A4">
      <w:pPr>
        <w:pStyle w:val="Compact"/>
        <w:numPr>
          <w:ilvl w:val="1"/>
          <w:numId w:val="17"/>
        </w:numPr>
      </w:pPr>
      <w:r w:rsidRPr="00AE18F8">
        <w:t>Monotherapies: acalabrutinib, zanubrutinib, fludarabine, bendamustine, venetoclax, ibrutinib, chlorambucil, rituximab, idelalisib, or cyclophosphamide</w:t>
      </w:r>
    </w:p>
    <w:p w14:paraId="0DEDFCE4" w14:textId="77777777" w:rsidR="00192E91" w:rsidRPr="00AE18F8" w:rsidRDefault="001147A4">
      <w:pPr>
        <w:pStyle w:val="Compact"/>
        <w:numPr>
          <w:ilvl w:val="1"/>
          <w:numId w:val="17"/>
        </w:numPr>
      </w:pPr>
      <w:r w:rsidRPr="00AE18F8">
        <w:t>Combination therapies: venetoclax + ibrutinib, cyclophosphamide + obinutuzumab, rituximab + venetoclax, rituximab + fludarabine, rituximab + bendamustine, rituximab + chlorambucil, rituximab + idelalisib, or rituximab + cyclophosphamide. Combination therapies may also include other drugs (e.g. rituximab + cyclophosphamide + other) would also be considered a viable treatment.</w:t>
      </w:r>
    </w:p>
    <w:p w14:paraId="0DEDFCE5" w14:textId="77777777" w:rsidR="00192E91" w:rsidRPr="00AE18F8" w:rsidRDefault="001147A4">
      <w:pPr>
        <w:pStyle w:val="FirstParagraph"/>
      </w:pPr>
      <w:r w:rsidRPr="00AE18F8">
        <w:t xml:space="preserve">Note: A potential limitation of this study is that treatments were identified using the ‘regimen’ table. As individual drug administrations in the ‘drug_detail’ table were not reviewed, some individuals who met the inclusion criteria but were only identifiable through drug administration records may have been </w:t>
      </w:r>
      <w:proofErr w:type="gramStart"/>
      <w:r w:rsidRPr="00AE18F8">
        <w:t>missed</w:t>
      </w:r>
      <w:proofErr w:type="gramEnd"/>
      <w:r w:rsidRPr="00AE18F8">
        <w:t>.</w:t>
      </w:r>
    </w:p>
    <w:p w14:paraId="29FDBF60" w14:textId="77777777" w:rsidR="00B23E74" w:rsidRPr="00AE18F8" w:rsidRDefault="00B23E74" w:rsidP="00B23E74">
      <w:pPr>
        <w:pStyle w:val="Heading4"/>
        <w:rPr>
          <w:color w:val="auto"/>
        </w:rPr>
      </w:pPr>
      <w:bookmarkStart w:id="6" w:name="flow-chart"/>
      <w:r w:rsidRPr="00AE18F8">
        <w:rPr>
          <w:color w:val="auto"/>
        </w:rPr>
        <w:t>Flow chart</w:t>
      </w:r>
    </w:p>
    <w:tbl>
      <w:tblPr>
        <w:tblStyle w:val="Table"/>
        <w:tblW w:w="5000" w:type="pct"/>
        <w:tblLook w:val="0000" w:firstRow="0" w:lastRow="0" w:firstColumn="0" w:lastColumn="0" w:noHBand="0" w:noVBand="0"/>
      </w:tblPr>
      <w:tblGrid>
        <w:gridCol w:w="9360"/>
      </w:tblGrid>
      <w:tr w:rsidR="00AE18F8" w:rsidRPr="00AE18F8" w14:paraId="6B4CE39E" w14:textId="77777777" w:rsidTr="0038754C">
        <w:tc>
          <w:tcPr>
            <w:tcW w:w="0" w:type="auto"/>
          </w:tcPr>
          <w:p w14:paraId="06A37CBA" w14:textId="77777777" w:rsidR="00B23E74" w:rsidRPr="00AE18F8" w:rsidRDefault="00B23E74" w:rsidP="0038754C">
            <w:pPr>
              <w:jc w:val="center"/>
            </w:pPr>
            <w:bookmarkStart w:id="7" w:name="fig-flow-ch1"/>
            <w:r w:rsidRPr="00AE18F8">
              <w:rPr>
                <w:noProof/>
              </w:rPr>
              <w:drawing>
                <wp:inline distT="0" distB="0" distL="0" distR="0" wp14:anchorId="7FC5037B" wp14:editId="442372DB">
                  <wp:extent cx="5943600" cy="3567506"/>
                  <wp:effectExtent l="0" t="0" r="0" b="0"/>
                  <wp:docPr id="30" name="Picture" title="A flowchart showing how exclusion criteria reduce the sample to 1,025 cases"/>
                  <wp:cNvGraphicFramePr/>
                  <a:graphic xmlns:a="http://schemas.openxmlformats.org/drawingml/2006/main">
                    <a:graphicData uri="http://schemas.openxmlformats.org/drawingml/2006/picture">
                      <pic:pic xmlns:pic="http://schemas.openxmlformats.org/drawingml/2006/picture">
                        <pic:nvPicPr>
                          <pic:cNvPr id="31" name="Picture" descr="ID6232_veno_veni_cll_files/figure-docx/fig-flow-ch1-1.png"/>
                          <pic:cNvPicPr>
                            <a:picLocks noChangeAspect="1" noChangeArrowheads="1"/>
                          </pic:cNvPicPr>
                        </pic:nvPicPr>
                        <pic:blipFill>
                          <a:blip r:embed="rId7"/>
                          <a:stretch>
                            <a:fillRect/>
                          </a:stretch>
                        </pic:blipFill>
                        <pic:spPr bwMode="auto">
                          <a:xfrm>
                            <a:off x="0" y="0"/>
                            <a:ext cx="5943600" cy="3567506"/>
                          </a:xfrm>
                          <a:prstGeom prst="rect">
                            <a:avLst/>
                          </a:prstGeom>
                          <a:noFill/>
                          <a:ln w="9525">
                            <a:noFill/>
                            <a:headEnd/>
                            <a:tailEnd/>
                          </a:ln>
                        </pic:spPr>
                      </pic:pic>
                    </a:graphicData>
                  </a:graphic>
                </wp:inline>
              </w:drawing>
            </w:r>
          </w:p>
          <w:p w14:paraId="48F49D8C" w14:textId="77777777" w:rsidR="00B23E74" w:rsidRPr="00AE18F8" w:rsidRDefault="00B23E74" w:rsidP="0038754C">
            <w:pPr>
              <w:pStyle w:val="ImageCaption"/>
              <w:spacing w:before="200"/>
            </w:pPr>
            <w:r w:rsidRPr="00AE18F8">
              <w:t>Figure 1: Inclusion / Exclusion Flow Chart</w:t>
            </w:r>
          </w:p>
        </w:tc>
        <w:bookmarkEnd w:id="7"/>
      </w:tr>
      <w:bookmarkEnd w:id="6"/>
    </w:tbl>
    <w:p w14:paraId="3CDF0513" w14:textId="77777777" w:rsidR="00CF59BF" w:rsidRPr="00AE18F8" w:rsidRDefault="00CF59BF" w:rsidP="00CF59BF">
      <w:pPr>
        <w:pStyle w:val="BodyText"/>
      </w:pPr>
    </w:p>
    <w:p w14:paraId="0DEDFCE6" w14:textId="77777777" w:rsidR="00192E91" w:rsidRPr="00AE18F8" w:rsidRDefault="001147A4">
      <w:pPr>
        <w:pStyle w:val="Heading3"/>
        <w:rPr>
          <w:color w:val="auto"/>
        </w:rPr>
      </w:pPr>
      <w:bookmarkStart w:id="8" w:name="patient-acknowledgement"/>
      <w:bookmarkEnd w:id="5"/>
      <w:r w:rsidRPr="00AE18F8">
        <w:rPr>
          <w:color w:val="auto"/>
        </w:rPr>
        <w:lastRenderedPageBreak/>
        <w:t>Patient acknowledgement</w:t>
      </w:r>
    </w:p>
    <w:p w14:paraId="0DEDFCE7" w14:textId="77777777" w:rsidR="00192E91" w:rsidRPr="00AE18F8" w:rsidRDefault="001147A4">
      <w:pPr>
        <w:pStyle w:val="FirstParagraph"/>
      </w:pPr>
      <w:r w:rsidRPr="00AE18F8">
        <w:t>This work uses data that has been provided by patients and collected by the NHS as part of their care and support. The data is collated, maintained and quality assured by the National Cancer Registration and Analysis Service, which is part of NHS England.</w:t>
      </w:r>
    </w:p>
    <w:p w14:paraId="0DEDFCE8" w14:textId="77777777" w:rsidR="00192E91" w:rsidRPr="00AE18F8" w:rsidRDefault="001147A4">
      <w:r w:rsidRPr="00AE18F8">
        <w:br w:type="page"/>
      </w:r>
    </w:p>
    <w:p w14:paraId="0DEDFCE9" w14:textId="77777777" w:rsidR="00192E91" w:rsidRPr="00AE18F8" w:rsidRDefault="001147A4">
      <w:pPr>
        <w:pStyle w:val="Heading2"/>
        <w:rPr>
          <w:color w:val="auto"/>
        </w:rPr>
      </w:pPr>
      <w:bookmarkStart w:id="9" w:name="results"/>
      <w:bookmarkEnd w:id="4"/>
      <w:bookmarkEnd w:id="8"/>
      <w:r w:rsidRPr="00AE18F8">
        <w:rPr>
          <w:color w:val="auto"/>
        </w:rPr>
        <w:lastRenderedPageBreak/>
        <w:t>Results</w:t>
      </w:r>
    </w:p>
    <w:p w14:paraId="0DEDFCEA" w14:textId="77777777" w:rsidR="00192E91" w:rsidRPr="00AE18F8" w:rsidRDefault="001147A4">
      <w:pPr>
        <w:pStyle w:val="Heading3"/>
        <w:rPr>
          <w:color w:val="auto"/>
        </w:rPr>
      </w:pPr>
      <w:bookmarkStart w:id="10" w:name="age-at-start-of-treatment"/>
      <w:r w:rsidRPr="00AE18F8">
        <w:rPr>
          <w:color w:val="auto"/>
        </w:rPr>
        <w:t>Age at start of treatment</w:t>
      </w:r>
    </w:p>
    <w:p w14:paraId="0DEDFCEB" w14:textId="77777777" w:rsidR="00192E91" w:rsidRPr="00AE18F8" w:rsidRDefault="001147A4">
      <w:pPr>
        <w:pStyle w:val="FirstParagraph"/>
      </w:pPr>
      <w:r w:rsidRPr="00AE18F8">
        <w:t xml:space="preserve">The table below sets out the mean age, standard deviation, median age and interquartile range (IQR) of patients who have received VenO for chronic lymphocytic leukemia, split by gender. Age is measured at the commencement of the first VenO treatment regimen. </w:t>
      </w:r>
    </w:p>
    <w:tbl>
      <w:tblPr>
        <w:tblW w:w="0" w:type="auto"/>
        <w:jc w:val="center"/>
        <w:tblCellMar>
          <w:left w:w="60" w:type="dxa"/>
          <w:right w:w="60" w:type="dxa"/>
        </w:tblCellMar>
        <w:tblLook w:val="0000" w:firstRow="0" w:lastRow="0" w:firstColumn="0" w:lastColumn="0" w:noHBand="0" w:noVBand="0"/>
      </w:tblPr>
      <w:tblGrid>
        <w:gridCol w:w="1991"/>
        <w:gridCol w:w="1756"/>
        <w:gridCol w:w="1756"/>
      </w:tblGrid>
      <w:tr w:rsidR="00AE18F8" w:rsidRPr="00AE18F8" w14:paraId="0DEDFCEF" w14:textId="77777777">
        <w:trPr>
          <w:cantSplit/>
          <w:tblHeader/>
          <w:jc w:val="center"/>
        </w:trPr>
        <w:tc>
          <w:tcPr>
            <w:tcW w:w="0" w:type="auto"/>
            <w:tcBorders>
              <w:top w:val="single" w:sz="16" w:space="0" w:color="D3D3D3"/>
              <w:left w:val="single" w:sz="0" w:space="0" w:color="D3D3D3"/>
              <w:bottom w:val="single" w:sz="16" w:space="0" w:color="D3D3D3"/>
            </w:tcBorders>
          </w:tcPr>
          <w:p w14:paraId="0DEDFCEC" w14:textId="77777777" w:rsidR="00192E91" w:rsidRPr="00AE18F8" w:rsidRDefault="001147A4">
            <w:pPr>
              <w:keepNext/>
              <w:spacing w:after="60"/>
            </w:pPr>
            <w:r w:rsidRPr="00AE18F8">
              <w:rPr>
                <w:rFonts w:ascii="Calibri" w:hAnsi="Calibri"/>
                <w:b/>
                <w:sz w:val="20"/>
              </w:rPr>
              <w:t>Characteristic</w:t>
            </w:r>
          </w:p>
        </w:tc>
        <w:tc>
          <w:tcPr>
            <w:tcW w:w="0" w:type="auto"/>
            <w:tcBorders>
              <w:top w:val="single" w:sz="16" w:space="0" w:color="D3D3D3"/>
              <w:bottom w:val="single" w:sz="16" w:space="0" w:color="D3D3D3"/>
            </w:tcBorders>
          </w:tcPr>
          <w:p w14:paraId="0DEDFCED" w14:textId="77777777" w:rsidR="00192E91" w:rsidRPr="00AE18F8" w:rsidRDefault="001147A4">
            <w:pPr>
              <w:keepNext/>
              <w:spacing w:after="60"/>
              <w:jc w:val="center"/>
            </w:pPr>
            <w:r w:rsidRPr="00AE18F8">
              <w:rPr>
                <w:rFonts w:ascii="Calibri" w:hAnsi="Calibri"/>
                <w:b/>
                <w:sz w:val="20"/>
              </w:rPr>
              <w:t>Female</w:t>
            </w:r>
            <w:r w:rsidRPr="00AE18F8">
              <w:rPr>
                <w:rFonts w:ascii="Calibri" w:hAnsi="Calibri"/>
                <w:sz w:val="20"/>
              </w:rPr>
              <w:t xml:space="preserve"> N = 310</w:t>
            </w:r>
            <w:r w:rsidRPr="00AE18F8">
              <w:rPr>
                <w:rFonts w:ascii="Calibri" w:hAnsi="Calibri"/>
                <w:i/>
                <w:sz w:val="20"/>
                <w:vertAlign w:val="superscript"/>
              </w:rPr>
              <w:t>1</w:t>
            </w:r>
          </w:p>
        </w:tc>
        <w:tc>
          <w:tcPr>
            <w:tcW w:w="0" w:type="auto"/>
            <w:tcBorders>
              <w:top w:val="single" w:sz="16" w:space="0" w:color="D3D3D3"/>
              <w:bottom w:val="single" w:sz="16" w:space="0" w:color="D3D3D3"/>
              <w:right w:val="single" w:sz="0" w:space="0" w:color="D3D3D3"/>
            </w:tcBorders>
          </w:tcPr>
          <w:p w14:paraId="0DEDFCEE" w14:textId="77777777" w:rsidR="00192E91" w:rsidRPr="00AE18F8" w:rsidRDefault="001147A4">
            <w:pPr>
              <w:keepNext/>
              <w:spacing w:after="60"/>
              <w:jc w:val="center"/>
            </w:pPr>
            <w:r w:rsidRPr="00AE18F8">
              <w:rPr>
                <w:rFonts w:ascii="Calibri" w:hAnsi="Calibri"/>
                <w:b/>
                <w:sz w:val="20"/>
              </w:rPr>
              <w:t>Male</w:t>
            </w:r>
            <w:r w:rsidRPr="00AE18F8">
              <w:rPr>
                <w:rFonts w:ascii="Calibri" w:hAnsi="Calibri"/>
                <w:sz w:val="20"/>
              </w:rPr>
              <w:t xml:space="preserve"> N = 715</w:t>
            </w:r>
            <w:r w:rsidRPr="00AE18F8">
              <w:rPr>
                <w:rFonts w:ascii="Calibri" w:hAnsi="Calibri"/>
                <w:i/>
                <w:sz w:val="20"/>
                <w:vertAlign w:val="superscript"/>
              </w:rPr>
              <w:t>1</w:t>
            </w:r>
          </w:p>
        </w:tc>
      </w:tr>
      <w:tr w:rsidR="00AE18F8" w:rsidRPr="00AE18F8" w14:paraId="0DEDFCF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CF0" w14:textId="77777777" w:rsidR="00192E91" w:rsidRPr="00AE18F8" w:rsidRDefault="001147A4">
            <w:pPr>
              <w:keepNext/>
              <w:spacing w:after="60"/>
            </w:pPr>
            <w:r w:rsidRPr="00AE18F8">
              <w:rPr>
                <w:rFonts w:ascii="Calibri" w:hAnsi="Calibri"/>
                <w:sz w:val="20"/>
              </w:rPr>
              <w:t>Age at start of regimen</w:t>
            </w:r>
          </w:p>
        </w:tc>
        <w:tc>
          <w:tcPr>
            <w:tcW w:w="0" w:type="auto"/>
            <w:tcBorders>
              <w:top w:val="single" w:sz="0" w:space="0" w:color="D3D3D3"/>
              <w:left w:val="single" w:sz="0" w:space="0" w:color="D3D3D3"/>
              <w:bottom w:val="single" w:sz="0" w:space="0" w:color="D3D3D3"/>
              <w:right w:val="single" w:sz="0" w:space="0" w:color="D3D3D3"/>
            </w:tcBorders>
          </w:tcPr>
          <w:p w14:paraId="0DEDFCF1" w14:textId="77777777" w:rsidR="00192E91" w:rsidRPr="00AE18F8" w:rsidRDefault="001147A4">
            <w:pPr>
              <w:keepNext/>
              <w:spacing w:after="60"/>
              <w:jc w:val="center"/>
            </w:pPr>
            <w:r w:rsidRPr="00AE18F8">
              <w:rPr>
                <w:rFonts w:ascii="Calibri" w:hAnsi="Calibri"/>
                <w:sz w:val="20"/>
              </w:rPr>
              <w:t>64, (10) : 65 (57, 73)</w:t>
            </w:r>
          </w:p>
        </w:tc>
        <w:tc>
          <w:tcPr>
            <w:tcW w:w="0" w:type="auto"/>
            <w:tcBorders>
              <w:top w:val="single" w:sz="0" w:space="0" w:color="D3D3D3"/>
              <w:left w:val="single" w:sz="0" w:space="0" w:color="D3D3D3"/>
              <w:bottom w:val="single" w:sz="0" w:space="0" w:color="D3D3D3"/>
              <w:right w:val="single" w:sz="0" w:space="0" w:color="D3D3D3"/>
            </w:tcBorders>
          </w:tcPr>
          <w:p w14:paraId="0DEDFCF2" w14:textId="77777777" w:rsidR="00192E91" w:rsidRPr="00AE18F8" w:rsidRDefault="001147A4">
            <w:pPr>
              <w:keepNext/>
              <w:spacing w:after="60"/>
              <w:jc w:val="center"/>
            </w:pPr>
            <w:r w:rsidRPr="00AE18F8">
              <w:rPr>
                <w:rFonts w:ascii="Calibri" w:hAnsi="Calibri"/>
                <w:sz w:val="20"/>
              </w:rPr>
              <w:t>65, (10) : 65 (58, 72)</w:t>
            </w:r>
          </w:p>
        </w:tc>
      </w:tr>
      <w:tr w:rsidR="00AE18F8" w:rsidRPr="00AE18F8" w14:paraId="0DEDFCF5" w14:textId="77777777">
        <w:trPr>
          <w:cantSplit/>
          <w:jc w:val="center"/>
        </w:trPr>
        <w:tc>
          <w:tcPr>
            <w:tcW w:w="0" w:type="auto"/>
            <w:gridSpan w:val="3"/>
          </w:tcPr>
          <w:p w14:paraId="0DEDFCF4" w14:textId="77777777" w:rsidR="00192E91" w:rsidRPr="00AE18F8" w:rsidRDefault="001147A4">
            <w:pPr>
              <w:keepNext/>
              <w:spacing w:after="60"/>
            </w:pPr>
            <w:r w:rsidRPr="00AE18F8">
              <w:rPr>
                <w:rFonts w:ascii="Calibri" w:hAnsi="Calibri"/>
                <w:i/>
                <w:sz w:val="20"/>
                <w:vertAlign w:val="superscript"/>
              </w:rPr>
              <w:t>1</w:t>
            </w:r>
            <w:r w:rsidRPr="00AE18F8">
              <w:rPr>
                <w:rFonts w:ascii="Calibri" w:hAnsi="Calibri"/>
                <w:sz w:val="20"/>
              </w:rPr>
              <w:t>Mean, (SD</w:t>
            </w:r>
            <w:proofErr w:type="gramStart"/>
            <w:r w:rsidRPr="00AE18F8">
              <w:rPr>
                <w:rFonts w:ascii="Calibri" w:hAnsi="Calibri"/>
                <w:sz w:val="20"/>
              </w:rPr>
              <w:t>) :</w:t>
            </w:r>
            <w:proofErr w:type="gramEnd"/>
            <w:r w:rsidRPr="00AE18F8">
              <w:rPr>
                <w:rFonts w:ascii="Calibri" w:hAnsi="Calibri"/>
                <w:sz w:val="20"/>
              </w:rPr>
              <w:t xml:space="preserve"> Median (Q1, Q3)</w:t>
            </w:r>
          </w:p>
        </w:tc>
      </w:tr>
    </w:tbl>
    <w:tbl>
      <w:tblPr>
        <w:tblStyle w:val="Table"/>
        <w:tblW w:w="5000" w:type="pct"/>
        <w:tblLayout w:type="fixed"/>
        <w:tblLook w:val="0020" w:firstRow="1" w:lastRow="0" w:firstColumn="0" w:lastColumn="0" w:noHBand="0" w:noVBand="0"/>
      </w:tblPr>
      <w:tblGrid>
        <w:gridCol w:w="9360"/>
      </w:tblGrid>
      <w:tr w:rsidR="00AE18F8" w:rsidRPr="00AE18F8" w14:paraId="0DEDFCFA"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CF6" w14:textId="77777777" w:rsidR="00192E91" w:rsidRPr="00AE18F8" w:rsidRDefault="001147A4">
            <w:pPr>
              <w:pStyle w:val="ImageCaption"/>
              <w:spacing w:before="200"/>
            </w:pPr>
            <w:bookmarkStart w:id="11" w:name="tbl-age-dist-ch1"/>
            <w:r w:rsidRPr="00AE18F8">
              <w:t>Table 1: Mean age, standard deviation, median age and IQR of patients who have received venetoclax with obinutuzumab, split by gender</w:t>
            </w:r>
          </w:p>
          <w:tbl>
            <w:tblPr>
              <w:tblStyle w:val="Table"/>
              <w:tblW w:w="0" w:type="auto"/>
              <w:tblLook w:val="0020" w:firstRow="1" w:lastRow="0" w:firstColumn="0" w:lastColumn="0" w:noHBand="0" w:noVBand="0"/>
            </w:tblPr>
            <w:tblGrid>
              <w:gridCol w:w="7920"/>
            </w:tblGrid>
            <w:tr w:rsidR="00AE18F8" w:rsidRPr="00AE18F8" w14:paraId="0DEDFCF8"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CF7" w14:textId="77777777" w:rsidR="00192E91" w:rsidRPr="00AE18F8" w:rsidRDefault="00192E91">
                  <w:pPr>
                    <w:pStyle w:val="Compact"/>
                  </w:pPr>
                </w:p>
              </w:tc>
            </w:tr>
            <w:bookmarkEnd w:id="11"/>
          </w:tbl>
          <w:p w14:paraId="0DEDFCF9" w14:textId="77777777" w:rsidR="00192E91" w:rsidRPr="00AE18F8" w:rsidRDefault="00192E91"/>
        </w:tc>
      </w:tr>
      <w:tr w:rsidR="00AE18F8" w:rsidRPr="00AE18F8" w14:paraId="0DEDFCFD" w14:textId="77777777" w:rsidTr="00AE18F8">
        <w:tc>
          <w:tcPr>
            <w:tcW w:w="7920" w:type="dxa"/>
          </w:tcPr>
          <w:p w14:paraId="0DEDFCFB" w14:textId="77777777" w:rsidR="00192E91" w:rsidRPr="00AE18F8" w:rsidRDefault="001147A4">
            <w:pPr>
              <w:pStyle w:val="Compact"/>
              <w:jc w:val="center"/>
            </w:pPr>
            <w:bookmarkStart w:id="12" w:name="fig-age-dist-ch1"/>
            <w:r w:rsidRPr="00AE18F8">
              <w:rPr>
                <w:noProof/>
              </w:rPr>
              <w:drawing>
                <wp:inline distT="0" distB="0" distL="0" distR="0" wp14:anchorId="0DEDFF43" wp14:editId="0DEDFF44">
                  <wp:extent cx="4620126" cy="3696101"/>
                  <wp:effectExtent l="0" t="0" r="0" b="0"/>
                  <wp:docPr id="34" name="Picture" title="A histogram showing age distribution for individuals who have received venetoclax with obinutuzumab."/>
                  <wp:cNvGraphicFramePr/>
                  <a:graphic xmlns:a="http://schemas.openxmlformats.org/drawingml/2006/main">
                    <a:graphicData uri="http://schemas.openxmlformats.org/drawingml/2006/picture">
                      <pic:pic xmlns:pic="http://schemas.openxmlformats.org/drawingml/2006/picture">
                        <pic:nvPicPr>
                          <pic:cNvPr id="35" name="Picture" descr="ID6232_veno_veni_cll_monthly._ss_files/figure-docx/fig-age-dist-ch1-1.png"/>
                          <pic:cNvPicPr>
                            <a:picLocks noChangeAspect="1" noChangeArrowheads="1"/>
                          </pic:cNvPicPr>
                        </pic:nvPicPr>
                        <pic:blipFill>
                          <a:blip r:embed="rId8"/>
                          <a:stretch>
                            <a:fillRect/>
                          </a:stretch>
                        </pic:blipFill>
                        <pic:spPr bwMode="auto">
                          <a:xfrm>
                            <a:off x="0" y="0"/>
                            <a:ext cx="4620126" cy="3696101"/>
                          </a:xfrm>
                          <a:prstGeom prst="rect">
                            <a:avLst/>
                          </a:prstGeom>
                          <a:noFill/>
                          <a:ln w="9525">
                            <a:noFill/>
                            <a:headEnd/>
                            <a:tailEnd/>
                          </a:ln>
                        </pic:spPr>
                      </pic:pic>
                    </a:graphicData>
                  </a:graphic>
                </wp:inline>
              </w:drawing>
            </w:r>
          </w:p>
          <w:p w14:paraId="0DEDFCFC" w14:textId="7A5EB82D" w:rsidR="00192E91" w:rsidRPr="00AE18F8" w:rsidRDefault="001147A4">
            <w:pPr>
              <w:pStyle w:val="ImageCaption"/>
              <w:spacing w:before="200"/>
            </w:pPr>
            <w:r w:rsidRPr="00AE18F8">
              <w:t>Figure </w:t>
            </w:r>
            <w:r w:rsidR="00B23E74" w:rsidRPr="00AE18F8">
              <w:t>2</w:t>
            </w:r>
            <w:r w:rsidRPr="00AE18F8">
              <w:t>: Age distribution of patients who have received venetoclax with obinutuzumab</w:t>
            </w:r>
          </w:p>
        </w:tc>
        <w:bookmarkEnd w:id="12"/>
      </w:tr>
    </w:tbl>
    <w:p w14:paraId="0DEDFCFE" w14:textId="77777777" w:rsidR="00192E91" w:rsidRPr="00AE18F8" w:rsidRDefault="001147A4">
      <w:r w:rsidRPr="00AE18F8">
        <w:br w:type="page"/>
      </w:r>
    </w:p>
    <w:p w14:paraId="0DEDFCFF" w14:textId="77777777" w:rsidR="00192E91" w:rsidRPr="00AE18F8" w:rsidRDefault="001147A4">
      <w:pPr>
        <w:pStyle w:val="Heading3"/>
        <w:rPr>
          <w:color w:val="auto"/>
        </w:rPr>
      </w:pPr>
      <w:bookmarkStart w:id="13" w:name="overall-survival"/>
      <w:bookmarkEnd w:id="10"/>
      <w:r w:rsidRPr="00AE18F8">
        <w:rPr>
          <w:color w:val="auto"/>
        </w:rPr>
        <w:lastRenderedPageBreak/>
        <w:t>Overall survival</w:t>
      </w:r>
    </w:p>
    <w:p w14:paraId="0DEDFD00" w14:textId="77777777" w:rsidR="00192E91" w:rsidRPr="00AE18F8" w:rsidRDefault="001147A4">
      <w:pPr>
        <w:pStyle w:val="Heading4"/>
        <w:rPr>
          <w:color w:val="auto"/>
        </w:rPr>
      </w:pPr>
      <w:bookmarkStart w:id="14" w:name="base-k-m-plot"/>
      <w:r w:rsidRPr="00AE18F8">
        <w:rPr>
          <w:color w:val="auto"/>
        </w:rPr>
        <w:t>Base K-M plot</w:t>
      </w:r>
    </w:p>
    <w:p w14:paraId="0DEDFD01" w14:textId="77777777" w:rsidR="00192E91" w:rsidRPr="00AE18F8" w:rsidRDefault="001147A4">
      <w:pPr>
        <w:pStyle w:val="FirstParagraph"/>
      </w:pPr>
      <w:r w:rsidRPr="00AE18F8">
        <w:t>The Kaplan-Meier plot below shows survival over time for those receiving a VenO treatment regimen.</w:t>
      </w:r>
    </w:p>
    <w:p w14:paraId="0DEDFD02" w14:textId="77777777" w:rsidR="00192E91" w:rsidRPr="00AE18F8" w:rsidRDefault="001147A4">
      <w:pPr>
        <w:pStyle w:val="BodyText"/>
      </w:pPr>
      <w:r w:rsidRPr="00AE18F8">
        <w:t>Median survival was not reached. Restricted mean survival (over the whole curve) was 54.09 months. The minimum follow-up time was 0.1 months, median 30.3 months, and maximum follow-up time of 57.8 months.</w:t>
      </w:r>
    </w:p>
    <w:tbl>
      <w:tblPr>
        <w:tblStyle w:val="Table"/>
        <w:tblW w:w="5000" w:type="pct"/>
        <w:tblLayout w:type="fixed"/>
        <w:tblLook w:val="0020" w:firstRow="1" w:lastRow="0" w:firstColumn="0" w:lastColumn="0" w:noHBand="0" w:noVBand="0"/>
      </w:tblPr>
      <w:tblGrid>
        <w:gridCol w:w="9360"/>
      </w:tblGrid>
      <w:tr w:rsidR="00AE18F8" w:rsidRPr="00AE18F8" w14:paraId="0DEDFD05"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03" w14:textId="77777777" w:rsidR="00192E91" w:rsidRPr="00AE18F8" w:rsidRDefault="001147A4">
            <w:pPr>
              <w:pStyle w:val="Compact"/>
              <w:jc w:val="center"/>
            </w:pPr>
            <w:bookmarkStart w:id="15" w:name="fig-km-ch1"/>
            <w:r w:rsidRPr="00AE18F8">
              <w:rPr>
                <w:noProof/>
              </w:rPr>
              <w:drawing>
                <wp:inline distT="0" distB="0" distL="0" distR="0" wp14:anchorId="0DEDFF45" wp14:editId="0DEDFF46">
                  <wp:extent cx="5943600" cy="3657600"/>
                  <wp:effectExtent l="0" t="0" r="0" b="0"/>
                  <wp:docPr id="39" name="Picture" title="A Kaplan-Meier plot showing overall survival over time for individuals who have received venetoclax with obinutuzumab."/>
                  <wp:cNvGraphicFramePr/>
                  <a:graphic xmlns:a="http://schemas.openxmlformats.org/drawingml/2006/main">
                    <a:graphicData uri="http://schemas.openxmlformats.org/drawingml/2006/picture">
                      <pic:pic xmlns:pic="http://schemas.openxmlformats.org/drawingml/2006/picture">
                        <pic:nvPicPr>
                          <pic:cNvPr id="40" name="Picture" descr="ID6232_veno_veni_cll_monthly._ss_files/figure-docx/fig-km-ch1-1.png"/>
                          <pic:cNvPicPr>
                            <a:picLocks noChangeAspect="1" noChangeArrowheads="1"/>
                          </pic:cNvPicPr>
                        </pic:nvPicPr>
                        <pic:blipFill>
                          <a:blip r:embed="rId9"/>
                          <a:stretch>
                            <a:fillRect/>
                          </a:stretch>
                        </pic:blipFill>
                        <pic:spPr bwMode="auto">
                          <a:xfrm>
                            <a:off x="0" y="0"/>
                            <a:ext cx="5943600" cy="3657600"/>
                          </a:xfrm>
                          <a:prstGeom prst="rect">
                            <a:avLst/>
                          </a:prstGeom>
                          <a:noFill/>
                          <a:ln w="9525">
                            <a:noFill/>
                            <a:headEnd/>
                            <a:tailEnd/>
                          </a:ln>
                        </pic:spPr>
                      </pic:pic>
                    </a:graphicData>
                  </a:graphic>
                </wp:inline>
              </w:drawing>
            </w:r>
          </w:p>
          <w:p w14:paraId="0DEDFD04" w14:textId="26546EF5" w:rsidR="00192E91" w:rsidRPr="00AE18F8" w:rsidRDefault="001147A4">
            <w:pPr>
              <w:pStyle w:val="ImageCaption"/>
              <w:spacing w:before="200"/>
            </w:pPr>
            <w:r w:rsidRPr="00AE18F8">
              <w:t>Figure </w:t>
            </w:r>
            <w:r w:rsidR="00B23E74" w:rsidRPr="00AE18F8">
              <w:t>3</w:t>
            </w:r>
            <w:r w:rsidRPr="00AE18F8">
              <w:t>: Overall survival amongst patients who have received venetoclax with obinutuzumab</w:t>
            </w:r>
          </w:p>
        </w:tc>
        <w:bookmarkEnd w:id="15"/>
      </w:tr>
    </w:tbl>
    <w:p w14:paraId="0DEDFD06" w14:textId="77777777" w:rsidR="00192E91" w:rsidRPr="00AE18F8" w:rsidRDefault="001147A4">
      <w:r w:rsidRPr="00AE18F8">
        <w:br w:type="page"/>
      </w:r>
    </w:p>
    <w:p w14:paraId="0DEDFD07" w14:textId="77777777" w:rsidR="00192E91" w:rsidRPr="00AE18F8" w:rsidRDefault="001147A4">
      <w:pPr>
        <w:pStyle w:val="Heading4"/>
        <w:rPr>
          <w:color w:val="auto"/>
        </w:rPr>
      </w:pPr>
      <w:bookmarkStart w:id="16" w:name="exponential"/>
      <w:bookmarkEnd w:id="14"/>
      <w:r w:rsidRPr="00AE18F8">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AE18F8" w:rsidRPr="00AE18F8" w14:paraId="0DEDFD0A"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08" w14:textId="77777777" w:rsidR="00192E91" w:rsidRPr="00AE18F8" w:rsidRDefault="001147A4">
            <w:pPr>
              <w:pStyle w:val="Compact"/>
              <w:jc w:val="center"/>
            </w:pPr>
            <w:bookmarkStart w:id="17" w:name="fig-km_exp-ch1"/>
            <w:r w:rsidRPr="00AE18F8">
              <w:rPr>
                <w:noProof/>
              </w:rPr>
              <w:drawing>
                <wp:inline distT="0" distB="0" distL="0" distR="0" wp14:anchorId="0DEDFF47" wp14:editId="0DEDFF48">
                  <wp:extent cx="5943600" cy="3657600"/>
                  <wp:effectExtent l="0" t="0" r="0" b="0"/>
                  <wp:docPr id="44" name="Picture" title="A Kaplan-Meier plot showing overall survival over time for individuals who have received venetoclax with obinutuzumab, with an overlaid exponential model fit."/>
                  <wp:cNvGraphicFramePr/>
                  <a:graphic xmlns:a="http://schemas.openxmlformats.org/drawingml/2006/main">
                    <a:graphicData uri="http://schemas.openxmlformats.org/drawingml/2006/picture">
                      <pic:pic xmlns:pic="http://schemas.openxmlformats.org/drawingml/2006/picture">
                        <pic:nvPicPr>
                          <pic:cNvPr id="45" name="Picture" descr="ID6232_veno_veni_cll_monthly._ss_files/figure-docx/fig-km_exp-ch1-1.png"/>
                          <pic:cNvPicPr>
                            <a:picLocks noChangeAspect="1" noChangeArrowheads="1"/>
                          </pic:cNvPicPr>
                        </pic:nvPicPr>
                        <pic:blipFill>
                          <a:blip r:embed="rId10"/>
                          <a:stretch>
                            <a:fillRect/>
                          </a:stretch>
                        </pic:blipFill>
                        <pic:spPr bwMode="auto">
                          <a:xfrm>
                            <a:off x="0" y="0"/>
                            <a:ext cx="5943600" cy="3657600"/>
                          </a:xfrm>
                          <a:prstGeom prst="rect">
                            <a:avLst/>
                          </a:prstGeom>
                          <a:noFill/>
                          <a:ln w="9525">
                            <a:noFill/>
                            <a:headEnd/>
                            <a:tailEnd/>
                          </a:ln>
                        </pic:spPr>
                      </pic:pic>
                    </a:graphicData>
                  </a:graphic>
                </wp:inline>
              </w:drawing>
            </w:r>
          </w:p>
          <w:p w14:paraId="0DEDFD09" w14:textId="526BB38D" w:rsidR="00192E91" w:rsidRPr="00AE18F8" w:rsidRDefault="001147A4">
            <w:pPr>
              <w:pStyle w:val="ImageCaption"/>
              <w:spacing w:before="200"/>
            </w:pPr>
            <w:r w:rsidRPr="00AE18F8">
              <w:t>Figure </w:t>
            </w:r>
            <w:r w:rsidR="00B23E74" w:rsidRPr="00AE18F8">
              <w:t>4</w:t>
            </w:r>
            <w:r w:rsidRPr="00AE18F8">
              <w:t>: Overall survival against exponential survival function</w:t>
            </w:r>
          </w:p>
        </w:tc>
        <w:bookmarkEnd w:id="17"/>
      </w:tr>
    </w:tbl>
    <w:p w14:paraId="0DEDFD0B"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723"/>
      </w:tblGrid>
      <w:tr w:rsidR="00AE18F8" w:rsidRPr="00AE18F8" w14:paraId="0DEDFD11" w14:textId="77777777">
        <w:trPr>
          <w:cantSplit/>
          <w:tblHeader/>
          <w:jc w:val="center"/>
        </w:trPr>
        <w:tc>
          <w:tcPr>
            <w:tcW w:w="0" w:type="auto"/>
            <w:tcBorders>
              <w:top w:val="single" w:sz="16" w:space="0" w:color="D3D3D3"/>
              <w:left w:val="single" w:sz="0" w:space="0" w:color="D3D3D3"/>
              <w:bottom w:val="single" w:sz="16" w:space="0" w:color="D3D3D3"/>
            </w:tcBorders>
          </w:tcPr>
          <w:p w14:paraId="0DEDFD0C"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0D"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0E"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0F"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D10" w14:textId="77777777" w:rsidR="00192E91" w:rsidRPr="00AE18F8" w:rsidRDefault="001147A4">
            <w:pPr>
              <w:keepNext/>
              <w:spacing w:after="60"/>
              <w:jc w:val="right"/>
            </w:pPr>
            <w:r w:rsidRPr="00AE18F8">
              <w:rPr>
                <w:rFonts w:ascii="Calibri" w:hAnsi="Calibri"/>
                <w:sz w:val="20"/>
              </w:rPr>
              <w:t>p-value</w:t>
            </w:r>
          </w:p>
        </w:tc>
      </w:tr>
      <w:tr w:rsidR="00AE18F8" w:rsidRPr="00AE18F8" w14:paraId="0DEDFD1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12"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D13" w14:textId="77777777" w:rsidR="00192E91" w:rsidRPr="00AE18F8" w:rsidRDefault="001147A4">
            <w:pPr>
              <w:keepNext/>
              <w:spacing w:after="60"/>
              <w:jc w:val="right"/>
            </w:pPr>
            <w:r w:rsidRPr="00AE18F8">
              <w:rPr>
                <w:rFonts w:ascii="Calibri" w:hAnsi="Calibri"/>
                <w:sz w:val="20"/>
              </w:rPr>
              <w:t>6.043</w:t>
            </w:r>
          </w:p>
        </w:tc>
        <w:tc>
          <w:tcPr>
            <w:tcW w:w="0" w:type="auto"/>
            <w:tcBorders>
              <w:top w:val="single" w:sz="0" w:space="0" w:color="D3D3D3"/>
              <w:left w:val="single" w:sz="0" w:space="0" w:color="D3D3D3"/>
              <w:bottom w:val="single" w:sz="0" w:space="0" w:color="D3D3D3"/>
              <w:right w:val="single" w:sz="0" w:space="0" w:color="D3D3D3"/>
            </w:tcBorders>
          </w:tcPr>
          <w:p w14:paraId="0DEDFD14" w14:textId="77777777" w:rsidR="00192E91" w:rsidRPr="00AE18F8" w:rsidRDefault="001147A4">
            <w:pPr>
              <w:keepNext/>
              <w:spacing w:after="60"/>
              <w:jc w:val="right"/>
            </w:pPr>
            <w:r w:rsidRPr="00AE18F8">
              <w:rPr>
                <w:rFonts w:ascii="Calibri" w:hAnsi="Calibri"/>
                <w:sz w:val="20"/>
              </w:rPr>
              <w:t>0.116</w:t>
            </w:r>
          </w:p>
        </w:tc>
        <w:tc>
          <w:tcPr>
            <w:tcW w:w="0" w:type="auto"/>
            <w:tcBorders>
              <w:top w:val="single" w:sz="0" w:space="0" w:color="D3D3D3"/>
              <w:left w:val="single" w:sz="0" w:space="0" w:color="D3D3D3"/>
              <w:bottom w:val="single" w:sz="0" w:space="0" w:color="D3D3D3"/>
              <w:right w:val="single" w:sz="0" w:space="0" w:color="D3D3D3"/>
            </w:tcBorders>
          </w:tcPr>
          <w:p w14:paraId="0DEDFD15" w14:textId="77777777" w:rsidR="00192E91" w:rsidRPr="00AE18F8" w:rsidRDefault="001147A4">
            <w:pPr>
              <w:keepNext/>
              <w:spacing w:after="60"/>
              <w:jc w:val="right"/>
            </w:pPr>
            <w:r w:rsidRPr="00AE18F8">
              <w:rPr>
                <w:rFonts w:ascii="Calibri" w:hAnsi="Calibri"/>
                <w:sz w:val="20"/>
              </w:rPr>
              <w:t>51.98181</w:t>
            </w:r>
          </w:p>
        </w:tc>
        <w:tc>
          <w:tcPr>
            <w:tcW w:w="0" w:type="auto"/>
            <w:tcBorders>
              <w:top w:val="single" w:sz="0" w:space="0" w:color="D3D3D3"/>
              <w:left w:val="single" w:sz="0" w:space="0" w:color="D3D3D3"/>
              <w:bottom w:val="single" w:sz="0" w:space="0" w:color="D3D3D3"/>
              <w:right w:val="single" w:sz="0" w:space="0" w:color="D3D3D3"/>
            </w:tcBorders>
          </w:tcPr>
          <w:p w14:paraId="0DEDFD16" w14:textId="77777777" w:rsidR="00192E91" w:rsidRPr="00AE18F8" w:rsidRDefault="001147A4">
            <w:pPr>
              <w:keepNext/>
              <w:spacing w:after="60"/>
              <w:jc w:val="right"/>
            </w:pPr>
            <w:r w:rsidRPr="00AE18F8">
              <w:rPr>
                <w:rFonts w:ascii="Calibri" w:hAnsi="Calibri"/>
                <w:sz w:val="20"/>
              </w:rPr>
              <w:t>0</w:t>
            </w:r>
          </w:p>
        </w:tc>
      </w:tr>
      <w:tr w:rsidR="00AE18F8" w:rsidRPr="00AE18F8" w14:paraId="0DEDFD19" w14:textId="77777777">
        <w:trPr>
          <w:cantSplit/>
          <w:jc w:val="center"/>
        </w:trPr>
        <w:tc>
          <w:tcPr>
            <w:tcW w:w="0" w:type="auto"/>
            <w:gridSpan w:val="5"/>
          </w:tcPr>
          <w:p w14:paraId="0DEDFD18" w14:textId="77777777" w:rsidR="00192E91" w:rsidRPr="00AE18F8" w:rsidRDefault="001147A4">
            <w:pPr>
              <w:keepNext/>
              <w:spacing w:after="60"/>
            </w:pPr>
            <w:r w:rsidRPr="00AE18F8">
              <w:rPr>
                <w:rFonts w:ascii="Calibri" w:hAnsi="Calibri"/>
                <w:sz w:val="20"/>
              </w:rPr>
              <w:t>log-likelihood = -521.164434308152</w:t>
            </w:r>
          </w:p>
        </w:tc>
      </w:tr>
      <w:tr w:rsidR="00AE18F8" w:rsidRPr="00AE18F8" w14:paraId="0DEDFD1B" w14:textId="77777777">
        <w:trPr>
          <w:cantSplit/>
          <w:jc w:val="center"/>
        </w:trPr>
        <w:tc>
          <w:tcPr>
            <w:tcW w:w="0" w:type="auto"/>
            <w:gridSpan w:val="5"/>
          </w:tcPr>
          <w:p w14:paraId="0DEDFD1A" w14:textId="77777777" w:rsidR="00192E91" w:rsidRPr="00AE18F8" w:rsidRDefault="001147A4">
            <w:pPr>
              <w:keepNext/>
              <w:spacing w:after="60"/>
            </w:pPr>
            <w:r w:rsidRPr="00AE18F8">
              <w:rPr>
                <w:rFonts w:ascii="Calibri" w:hAnsi="Calibri"/>
                <w:sz w:val="20"/>
              </w:rPr>
              <w:t>AIC = 1044.3288686163</w:t>
            </w:r>
          </w:p>
        </w:tc>
      </w:tr>
      <w:tr w:rsidR="00AE18F8" w:rsidRPr="00AE18F8" w14:paraId="0DEDFD1D" w14:textId="77777777">
        <w:trPr>
          <w:cantSplit/>
          <w:jc w:val="center"/>
        </w:trPr>
        <w:tc>
          <w:tcPr>
            <w:tcW w:w="0" w:type="auto"/>
            <w:gridSpan w:val="5"/>
          </w:tcPr>
          <w:p w14:paraId="0DEDFD1C" w14:textId="77777777" w:rsidR="00192E91" w:rsidRPr="00AE18F8" w:rsidRDefault="001147A4">
            <w:pPr>
              <w:keepNext/>
              <w:spacing w:after="60"/>
            </w:pPr>
            <w:r w:rsidRPr="00AE18F8">
              <w:rPr>
                <w:rFonts w:ascii="Calibri" w:hAnsi="Calibri"/>
                <w:sz w:val="20"/>
              </w:rPr>
              <w:t>BIC = 1049.26131650788</w:t>
            </w:r>
          </w:p>
        </w:tc>
      </w:tr>
    </w:tbl>
    <w:tbl>
      <w:tblPr>
        <w:tblStyle w:val="Table"/>
        <w:tblW w:w="5000" w:type="pct"/>
        <w:tblLayout w:type="fixed"/>
        <w:tblLook w:val="0020" w:firstRow="1" w:lastRow="0" w:firstColumn="0" w:lastColumn="0" w:noHBand="0" w:noVBand="0"/>
      </w:tblPr>
      <w:tblGrid>
        <w:gridCol w:w="9360"/>
      </w:tblGrid>
      <w:tr w:rsidR="00AE18F8" w:rsidRPr="00AE18F8" w14:paraId="0DEDFD22"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1E" w14:textId="77777777" w:rsidR="00192E91" w:rsidRPr="00AE18F8" w:rsidRDefault="001147A4">
            <w:pPr>
              <w:pStyle w:val="ImageCaption"/>
              <w:spacing w:before="200"/>
            </w:pPr>
            <w:bookmarkStart w:id="18" w:name="tbl-km-exp-ch1"/>
            <w:r w:rsidRPr="00AE18F8">
              <w:t>Table 2: Survival model fit summary (exponential distribution)</w:t>
            </w:r>
          </w:p>
          <w:bookmarkEnd w:id="18"/>
          <w:p w14:paraId="0DEDFD21" w14:textId="77777777" w:rsidR="00192E91" w:rsidRPr="00AE18F8" w:rsidRDefault="00192E91"/>
        </w:tc>
      </w:tr>
    </w:tbl>
    <w:p w14:paraId="0DEDFD23" w14:textId="77777777" w:rsidR="00192E91" w:rsidRPr="00AE18F8" w:rsidRDefault="001147A4">
      <w:r w:rsidRPr="00AE18F8">
        <w:br w:type="page"/>
      </w:r>
    </w:p>
    <w:p w14:paraId="0DEDFD24" w14:textId="77777777" w:rsidR="00192E91" w:rsidRPr="00AE18F8" w:rsidRDefault="001147A4">
      <w:pPr>
        <w:pStyle w:val="Heading4"/>
        <w:rPr>
          <w:color w:val="auto"/>
        </w:rPr>
      </w:pPr>
      <w:bookmarkStart w:id="19" w:name="weibull"/>
      <w:bookmarkEnd w:id="16"/>
      <w:r w:rsidRPr="00AE18F8">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AE18F8" w:rsidRPr="00AE18F8" w14:paraId="0DEDFD27"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25" w14:textId="77777777" w:rsidR="00192E91" w:rsidRPr="00AE18F8" w:rsidRDefault="001147A4">
            <w:pPr>
              <w:pStyle w:val="Compact"/>
              <w:jc w:val="center"/>
            </w:pPr>
            <w:bookmarkStart w:id="20" w:name="fig-km-weibull-ch1"/>
            <w:r w:rsidRPr="00AE18F8">
              <w:rPr>
                <w:noProof/>
              </w:rPr>
              <w:drawing>
                <wp:inline distT="0" distB="0" distL="0" distR="0" wp14:anchorId="0DEDFF49" wp14:editId="0DEDFF4A">
                  <wp:extent cx="5943600" cy="3657600"/>
                  <wp:effectExtent l="0" t="0" r="0" b="0"/>
                  <wp:docPr id="50" name="Picture" title="A Kaplan-Meier plot showing overall survival over time for individuals who have received venetoclax with obinutuzumab, with an overlaid Weibull model fit."/>
                  <wp:cNvGraphicFramePr/>
                  <a:graphic xmlns:a="http://schemas.openxmlformats.org/drawingml/2006/main">
                    <a:graphicData uri="http://schemas.openxmlformats.org/drawingml/2006/picture">
                      <pic:pic xmlns:pic="http://schemas.openxmlformats.org/drawingml/2006/picture">
                        <pic:nvPicPr>
                          <pic:cNvPr id="51" name="Picture" descr="ID6232_veno_veni_cll_monthly._ss_files/figure-docx/fig-km-weibull-ch1-1.png"/>
                          <pic:cNvPicPr>
                            <a:picLocks noChangeAspect="1" noChangeArrowheads="1"/>
                          </pic:cNvPicPr>
                        </pic:nvPicPr>
                        <pic:blipFill>
                          <a:blip r:embed="rId11"/>
                          <a:stretch>
                            <a:fillRect/>
                          </a:stretch>
                        </pic:blipFill>
                        <pic:spPr bwMode="auto">
                          <a:xfrm>
                            <a:off x="0" y="0"/>
                            <a:ext cx="5943600" cy="3657600"/>
                          </a:xfrm>
                          <a:prstGeom prst="rect">
                            <a:avLst/>
                          </a:prstGeom>
                          <a:noFill/>
                          <a:ln w="9525">
                            <a:noFill/>
                            <a:headEnd/>
                            <a:tailEnd/>
                          </a:ln>
                        </pic:spPr>
                      </pic:pic>
                    </a:graphicData>
                  </a:graphic>
                </wp:inline>
              </w:drawing>
            </w:r>
          </w:p>
          <w:p w14:paraId="0DEDFD26" w14:textId="4A683A13" w:rsidR="00192E91" w:rsidRPr="00AE18F8" w:rsidRDefault="001147A4">
            <w:pPr>
              <w:pStyle w:val="ImageCaption"/>
              <w:spacing w:before="200"/>
            </w:pPr>
            <w:r w:rsidRPr="00AE18F8">
              <w:t>Figure </w:t>
            </w:r>
            <w:r w:rsidR="00B23E74" w:rsidRPr="00AE18F8">
              <w:t>5</w:t>
            </w:r>
            <w:r w:rsidRPr="00AE18F8">
              <w:t>: Overall survival against Weibull survival function</w:t>
            </w:r>
          </w:p>
        </w:tc>
        <w:bookmarkEnd w:id="20"/>
      </w:tr>
    </w:tbl>
    <w:p w14:paraId="0DEDFD28"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AE18F8" w:rsidRPr="00AE18F8" w14:paraId="0DEDFD2E" w14:textId="77777777">
        <w:trPr>
          <w:cantSplit/>
          <w:tblHeader/>
          <w:jc w:val="center"/>
        </w:trPr>
        <w:tc>
          <w:tcPr>
            <w:tcW w:w="0" w:type="auto"/>
            <w:tcBorders>
              <w:top w:val="single" w:sz="16" w:space="0" w:color="D3D3D3"/>
              <w:left w:val="single" w:sz="0" w:space="0" w:color="D3D3D3"/>
              <w:bottom w:val="single" w:sz="16" w:space="0" w:color="D3D3D3"/>
            </w:tcBorders>
          </w:tcPr>
          <w:p w14:paraId="0DEDFD29"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2A"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2B"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2C"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D2D" w14:textId="77777777" w:rsidR="00192E91" w:rsidRPr="00AE18F8" w:rsidRDefault="001147A4">
            <w:pPr>
              <w:keepNext/>
              <w:spacing w:after="60"/>
              <w:jc w:val="right"/>
            </w:pPr>
            <w:r w:rsidRPr="00AE18F8">
              <w:rPr>
                <w:rFonts w:ascii="Calibri" w:hAnsi="Calibri"/>
                <w:sz w:val="20"/>
              </w:rPr>
              <w:t>p-value</w:t>
            </w:r>
          </w:p>
        </w:tc>
      </w:tr>
      <w:tr w:rsidR="00AE18F8" w:rsidRPr="00AE18F8" w14:paraId="0DEDFD3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2F"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D30" w14:textId="77777777" w:rsidR="00192E91" w:rsidRPr="00AE18F8" w:rsidRDefault="001147A4">
            <w:pPr>
              <w:keepNext/>
              <w:spacing w:after="60"/>
              <w:jc w:val="right"/>
            </w:pPr>
            <w:r w:rsidRPr="00AE18F8">
              <w:rPr>
                <w:rFonts w:ascii="Calibri" w:hAnsi="Calibri"/>
                <w:sz w:val="20"/>
              </w:rPr>
              <w:t>6.439</w:t>
            </w:r>
          </w:p>
        </w:tc>
        <w:tc>
          <w:tcPr>
            <w:tcW w:w="0" w:type="auto"/>
            <w:tcBorders>
              <w:top w:val="single" w:sz="0" w:space="0" w:color="D3D3D3"/>
              <w:left w:val="single" w:sz="0" w:space="0" w:color="D3D3D3"/>
              <w:bottom w:val="single" w:sz="0" w:space="0" w:color="D3D3D3"/>
              <w:right w:val="single" w:sz="0" w:space="0" w:color="D3D3D3"/>
            </w:tcBorders>
          </w:tcPr>
          <w:p w14:paraId="0DEDFD31" w14:textId="77777777" w:rsidR="00192E91" w:rsidRPr="00AE18F8" w:rsidRDefault="001147A4">
            <w:pPr>
              <w:keepNext/>
              <w:spacing w:after="60"/>
              <w:jc w:val="right"/>
            </w:pPr>
            <w:r w:rsidRPr="00AE18F8">
              <w:rPr>
                <w:rFonts w:ascii="Calibri" w:hAnsi="Calibri"/>
                <w:sz w:val="20"/>
              </w:rPr>
              <w:t>0.345</w:t>
            </w:r>
          </w:p>
        </w:tc>
        <w:tc>
          <w:tcPr>
            <w:tcW w:w="0" w:type="auto"/>
            <w:tcBorders>
              <w:top w:val="single" w:sz="0" w:space="0" w:color="D3D3D3"/>
              <w:left w:val="single" w:sz="0" w:space="0" w:color="D3D3D3"/>
              <w:bottom w:val="single" w:sz="0" w:space="0" w:color="D3D3D3"/>
              <w:right w:val="single" w:sz="0" w:space="0" w:color="D3D3D3"/>
            </w:tcBorders>
          </w:tcPr>
          <w:p w14:paraId="0DEDFD32" w14:textId="77777777" w:rsidR="00192E91" w:rsidRPr="00AE18F8" w:rsidRDefault="001147A4">
            <w:pPr>
              <w:keepNext/>
              <w:spacing w:after="60"/>
              <w:jc w:val="right"/>
            </w:pPr>
            <w:r w:rsidRPr="00AE18F8">
              <w:rPr>
                <w:rFonts w:ascii="Calibri" w:hAnsi="Calibri"/>
                <w:sz w:val="20"/>
              </w:rPr>
              <w:t>18.662779</w:t>
            </w:r>
          </w:p>
        </w:tc>
        <w:tc>
          <w:tcPr>
            <w:tcW w:w="0" w:type="auto"/>
            <w:tcBorders>
              <w:top w:val="single" w:sz="0" w:space="0" w:color="D3D3D3"/>
              <w:left w:val="single" w:sz="0" w:space="0" w:color="D3D3D3"/>
              <w:bottom w:val="single" w:sz="0" w:space="0" w:color="D3D3D3"/>
              <w:right w:val="single" w:sz="0" w:space="0" w:color="D3D3D3"/>
            </w:tcBorders>
          </w:tcPr>
          <w:p w14:paraId="0DEDFD33" w14:textId="77777777" w:rsidR="00192E91" w:rsidRPr="00AE18F8" w:rsidRDefault="001147A4">
            <w:pPr>
              <w:keepNext/>
              <w:spacing w:after="60"/>
              <w:jc w:val="right"/>
            </w:pPr>
            <w:r w:rsidRPr="00AE18F8">
              <w:rPr>
                <w:rFonts w:ascii="Calibri" w:hAnsi="Calibri"/>
                <w:sz w:val="20"/>
              </w:rPr>
              <w:t>9.942275e-78</w:t>
            </w:r>
          </w:p>
        </w:tc>
      </w:tr>
      <w:tr w:rsidR="00AE18F8" w:rsidRPr="00AE18F8" w14:paraId="0DEDFD3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35"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D36" w14:textId="77777777" w:rsidR="00192E91" w:rsidRPr="00AE18F8" w:rsidRDefault="001147A4">
            <w:pPr>
              <w:keepNext/>
              <w:spacing w:after="60"/>
              <w:jc w:val="right"/>
            </w:pPr>
            <w:r w:rsidRPr="00AE18F8">
              <w:rPr>
                <w:rFonts w:ascii="Calibri" w:hAnsi="Calibri"/>
                <w:sz w:val="20"/>
              </w:rPr>
              <w:t>0.146</w:t>
            </w:r>
          </w:p>
        </w:tc>
        <w:tc>
          <w:tcPr>
            <w:tcW w:w="0" w:type="auto"/>
            <w:tcBorders>
              <w:top w:val="single" w:sz="0" w:space="0" w:color="D3D3D3"/>
              <w:left w:val="single" w:sz="0" w:space="0" w:color="D3D3D3"/>
              <w:bottom w:val="single" w:sz="0" w:space="0" w:color="D3D3D3"/>
              <w:right w:val="single" w:sz="0" w:space="0" w:color="D3D3D3"/>
            </w:tcBorders>
          </w:tcPr>
          <w:p w14:paraId="0DEDFD37" w14:textId="77777777" w:rsidR="00192E91" w:rsidRPr="00AE18F8" w:rsidRDefault="001147A4">
            <w:pPr>
              <w:keepNext/>
              <w:spacing w:after="60"/>
              <w:jc w:val="right"/>
            </w:pPr>
            <w:r w:rsidRPr="00AE18F8">
              <w:rPr>
                <w:rFonts w:ascii="Calibri" w:hAnsi="Calibri"/>
                <w:sz w:val="20"/>
              </w:rPr>
              <w:t>0.108</w:t>
            </w:r>
          </w:p>
        </w:tc>
        <w:tc>
          <w:tcPr>
            <w:tcW w:w="0" w:type="auto"/>
            <w:tcBorders>
              <w:top w:val="single" w:sz="0" w:space="0" w:color="D3D3D3"/>
              <w:left w:val="single" w:sz="0" w:space="0" w:color="D3D3D3"/>
              <w:bottom w:val="single" w:sz="0" w:space="0" w:color="D3D3D3"/>
              <w:right w:val="single" w:sz="0" w:space="0" w:color="D3D3D3"/>
            </w:tcBorders>
          </w:tcPr>
          <w:p w14:paraId="0DEDFD38" w14:textId="77777777" w:rsidR="00192E91" w:rsidRPr="00AE18F8" w:rsidRDefault="001147A4">
            <w:pPr>
              <w:keepNext/>
              <w:spacing w:after="60"/>
              <w:jc w:val="right"/>
            </w:pPr>
            <w:r w:rsidRPr="00AE18F8">
              <w:rPr>
                <w:rFonts w:ascii="Calibri" w:hAnsi="Calibri"/>
                <w:sz w:val="20"/>
              </w:rPr>
              <w:t>1.347971</w:t>
            </w:r>
          </w:p>
        </w:tc>
        <w:tc>
          <w:tcPr>
            <w:tcW w:w="0" w:type="auto"/>
            <w:tcBorders>
              <w:top w:val="single" w:sz="0" w:space="0" w:color="D3D3D3"/>
              <w:left w:val="single" w:sz="0" w:space="0" w:color="D3D3D3"/>
              <w:bottom w:val="single" w:sz="0" w:space="0" w:color="D3D3D3"/>
              <w:right w:val="single" w:sz="0" w:space="0" w:color="D3D3D3"/>
            </w:tcBorders>
          </w:tcPr>
          <w:p w14:paraId="0DEDFD39" w14:textId="77777777" w:rsidR="00192E91" w:rsidRPr="00AE18F8" w:rsidRDefault="001147A4">
            <w:pPr>
              <w:keepNext/>
              <w:spacing w:after="60"/>
              <w:jc w:val="right"/>
            </w:pPr>
            <w:r w:rsidRPr="00AE18F8">
              <w:rPr>
                <w:rFonts w:ascii="Calibri" w:hAnsi="Calibri"/>
                <w:sz w:val="20"/>
              </w:rPr>
              <w:t>1.776676e-01</w:t>
            </w:r>
          </w:p>
        </w:tc>
      </w:tr>
      <w:tr w:rsidR="00AE18F8" w:rsidRPr="00AE18F8" w14:paraId="0DEDFD3C" w14:textId="77777777">
        <w:trPr>
          <w:cantSplit/>
          <w:jc w:val="center"/>
        </w:trPr>
        <w:tc>
          <w:tcPr>
            <w:tcW w:w="0" w:type="auto"/>
            <w:gridSpan w:val="5"/>
          </w:tcPr>
          <w:p w14:paraId="0DEDFD3B" w14:textId="77777777" w:rsidR="00192E91" w:rsidRPr="00AE18F8" w:rsidRDefault="001147A4">
            <w:pPr>
              <w:keepNext/>
              <w:spacing w:after="60"/>
            </w:pPr>
            <w:r w:rsidRPr="00AE18F8">
              <w:rPr>
                <w:rFonts w:ascii="Calibri" w:hAnsi="Calibri"/>
                <w:sz w:val="20"/>
              </w:rPr>
              <w:t>log-likelihood = -520.200909573653</w:t>
            </w:r>
          </w:p>
        </w:tc>
      </w:tr>
      <w:tr w:rsidR="00AE18F8" w:rsidRPr="00AE18F8" w14:paraId="0DEDFD3E" w14:textId="77777777">
        <w:trPr>
          <w:cantSplit/>
          <w:jc w:val="center"/>
        </w:trPr>
        <w:tc>
          <w:tcPr>
            <w:tcW w:w="0" w:type="auto"/>
            <w:gridSpan w:val="5"/>
          </w:tcPr>
          <w:p w14:paraId="0DEDFD3D" w14:textId="77777777" w:rsidR="00192E91" w:rsidRPr="00AE18F8" w:rsidRDefault="001147A4">
            <w:pPr>
              <w:keepNext/>
              <w:spacing w:after="60"/>
            </w:pPr>
            <w:r w:rsidRPr="00AE18F8">
              <w:rPr>
                <w:rFonts w:ascii="Calibri" w:hAnsi="Calibri"/>
                <w:sz w:val="20"/>
              </w:rPr>
              <w:t>AIC = 1044.40181914731</w:t>
            </w:r>
          </w:p>
        </w:tc>
      </w:tr>
      <w:tr w:rsidR="00AE18F8" w:rsidRPr="00AE18F8" w14:paraId="0DEDFD40" w14:textId="77777777">
        <w:trPr>
          <w:cantSplit/>
          <w:jc w:val="center"/>
        </w:trPr>
        <w:tc>
          <w:tcPr>
            <w:tcW w:w="0" w:type="auto"/>
            <w:gridSpan w:val="5"/>
          </w:tcPr>
          <w:p w14:paraId="0DEDFD3F" w14:textId="77777777" w:rsidR="00192E91" w:rsidRPr="00AE18F8" w:rsidRDefault="001147A4">
            <w:pPr>
              <w:keepNext/>
              <w:spacing w:after="60"/>
            </w:pPr>
            <w:r w:rsidRPr="00AE18F8">
              <w:rPr>
                <w:rFonts w:ascii="Calibri" w:hAnsi="Calibri"/>
                <w:sz w:val="20"/>
              </w:rPr>
              <w:t>BIC = 1054.26671493045</w:t>
            </w:r>
          </w:p>
        </w:tc>
      </w:tr>
    </w:tbl>
    <w:tbl>
      <w:tblPr>
        <w:tblStyle w:val="Table"/>
        <w:tblW w:w="5000" w:type="pct"/>
        <w:tblLayout w:type="fixed"/>
        <w:tblLook w:val="0020" w:firstRow="1" w:lastRow="0" w:firstColumn="0" w:lastColumn="0" w:noHBand="0" w:noVBand="0"/>
      </w:tblPr>
      <w:tblGrid>
        <w:gridCol w:w="9360"/>
      </w:tblGrid>
      <w:tr w:rsidR="00AE18F8" w:rsidRPr="00AE18F8" w14:paraId="0DEDFD45"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41" w14:textId="77777777" w:rsidR="00192E91" w:rsidRPr="00AE18F8" w:rsidRDefault="001147A4">
            <w:pPr>
              <w:pStyle w:val="ImageCaption"/>
              <w:spacing w:before="200"/>
            </w:pPr>
            <w:bookmarkStart w:id="21" w:name="tbl-km-weibull-ch1"/>
            <w:r w:rsidRPr="00AE18F8">
              <w:t>Table 3: Survival model fit summary (Weibull distribution)</w:t>
            </w:r>
          </w:p>
          <w:bookmarkEnd w:id="21"/>
          <w:p w14:paraId="0DEDFD44" w14:textId="77777777" w:rsidR="00192E91" w:rsidRPr="00AE18F8" w:rsidRDefault="00192E91"/>
        </w:tc>
      </w:tr>
    </w:tbl>
    <w:p w14:paraId="0DEDFD46" w14:textId="77777777" w:rsidR="00192E91" w:rsidRPr="00AE18F8" w:rsidRDefault="001147A4">
      <w:r w:rsidRPr="00AE18F8">
        <w:br w:type="page"/>
      </w:r>
    </w:p>
    <w:p w14:paraId="0DEDFD47" w14:textId="77777777" w:rsidR="00192E91" w:rsidRPr="00AE18F8" w:rsidRDefault="001147A4">
      <w:pPr>
        <w:pStyle w:val="Heading4"/>
        <w:rPr>
          <w:color w:val="auto"/>
        </w:rPr>
      </w:pPr>
      <w:bookmarkStart w:id="22" w:name="log-normal"/>
      <w:bookmarkEnd w:id="19"/>
      <w:r w:rsidRPr="00AE18F8">
        <w:rPr>
          <w:color w:val="auto"/>
        </w:rPr>
        <w:lastRenderedPageBreak/>
        <w:t>Log-normal</w:t>
      </w:r>
    </w:p>
    <w:tbl>
      <w:tblPr>
        <w:tblStyle w:val="Table"/>
        <w:tblW w:w="5000" w:type="pct"/>
        <w:tblLayout w:type="fixed"/>
        <w:tblLook w:val="0020" w:firstRow="1" w:lastRow="0" w:firstColumn="0" w:lastColumn="0" w:noHBand="0" w:noVBand="0"/>
      </w:tblPr>
      <w:tblGrid>
        <w:gridCol w:w="9360"/>
      </w:tblGrid>
      <w:tr w:rsidR="00AE18F8" w:rsidRPr="00AE18F8" w14:paraId="0DEDFD4A"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48" w14:textId="77777777" w:rsidR="00192E91" w:rsidRPr="00AE18F8" w:rsidRDefault="001147A4">
            <w:pPr>
              <w:pStyle w:val="Compact"/>
              <w:jc w:val="center"/>
            </w:pPr>
            <w:bookmarkStart w:id="23" w:name="fig-km-log_normal-ch1"/>
            <w:r w:rsidRPr="00AE18F8">
              <w:rPr>
                <w:noProof/>
              </w:rPr>
              <w:drawing>
                <wp:inline distT="0" distB="0" distL="0" distR="0" wp14:anchorId="0DEDFF4B" wp14:editId="0DEDFF4C">
                  <wp:extent cx="5943600" cy="3657600"/>
                  <wp:effectExtent l="0" t="0" r="0" b="0"/>
                  <wp:docPr id="56" name="Picture" title="A Kaplan-Meier plot showing overall survival over time for individuals who have received venetoclax with obinutuzumab, with an overlaid Log-normal model fit."/>
                  <wp:cNvGraphicFramePr/>
                  <a:graphic xmlns:a="http://schemas.openxmlformats.org/drawingml/2006/main">
                    <a:graphicData uri="http://schemas.openxmlformats.org/drawingml/2006/picture">
                      <pic:pic xmlns:pic="http://schemas.openxmlformats.org/drawingml/2006/picture">
                        <pic:nvPicPr>
                          <pic:cNvPr id="57" name="Picture" descr="ID6232_veno_veni_cll_monthly._ss_files/figure-docx/fig-km-log_normal-ch1-1.png"/>
                          <pic:cNvPicPr>
                            <a:picLocks noChangeAspect="1" noChangeArrowheads="1"/>
                          </pic:cNvPicPr>
                        </pic:nvPicPr>
                        <pic:blipFill>
                          <a:blip r:embed="rId12"/>
                          <a:stretch>
                            <a:fillRect/>
                          </a:stretch>
                        </pic:blipFill>
                        <pic:spPr bwMode="auto">
                          <a:xfrm>
                            <a:off x="0" y="0"/>
                            <a:ext cx="5943600" cy="3657600"/>
                          </a:xfrm>
                          <a:prstGeom prst="rect">
                            <a:avLst/>
                          </a:prstGeom>
                          <a:noFill/>
                          <a:ln w="9525">
                            <a:noFill/>
                            <a:headEnd/>
                            <a:tailEnd/>
                          </a:ln>
                        </pic:spPr>
                      </pic:pic>
                    </a:graphicData>
                  </a:graphic>
                </wp:inline>
              </w:drawing>
            </w:r>
          </w:p>
          <w:p w14:paraId="0DEDFD49" w14:textId="6C127A9C" w:rsidR="00192E91" w:rsidRPr="00AE18F8" w:rsidRDefault="001147A4">
            <w:pPr>
              <w:pStyle w:val="ImageCaption"/>
              <w:spacing w:before="200"/>
            </w:pPr>
            <w:r w:rsidRPr="00AE18F8">
              <w:t>Figure </w:t>
            </w:r>
            <w:r w:rsidR="00B23E74" w:rsidRPr="00AE18F8">
              <w:t>6</w:t>
            </w:r>
            <w:r w:rsidRPr="00AE18F8">
              <w:t>: Overall survival against log-normal survival function</w:t>
            </w:r>
          </w:p>
        </w:tc>
        <w:bookmarkEnd w:id="23"/>
      </w:tr>
    </w:tbl>
    <w:p w14:paraId="0DEDFD4B"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244"/>
      </w:tblGrid>
      <w:tr w:rsidR="00AE18F8" w:rsidRPr="00AE18F8" w14:paraId="0DEDFD51" w14:textId="77777777">
        <w:trPr>
          <w:cantSplit/>
          <w:tblHeader/>
          <w:jc w:val="center"/>
        </w:trPr>
        <w:tc>
          <w:tcPr>
            <w:tcW w:w="0" w:type="auto"/>
            <w:tcBorders>
              <w:top w:val="single" w:sz="16" w:space="0" w:color="D3D3D3"/>
              <w:left w:val="single" w:sz="0" w:space="0" w:color="D3D3D3"/>
              <w:bottom w:val="single" w:sz="16" w:space="0" w:color="D3D3D3"/>
            </w:tcBorders>
          </w:tcPr>
          <w:p w14:paraId="0DEDFD4C"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4D"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4E"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4F"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D50" w14:textId="77777777" w:rsidR="00192E91" w:rsidRPr="00AE18F8" w:rsidRDefault="001147A4">
            <w:pPr>
              <w:keepNext/>
              <w:spacing w:after="60"/>
              <w:jc w:val="right"/>
            </w:pPr>
            <w:r w:rsidRPr="00AE18F8">
              <w:rPr>
                <w:rFonts w:ascii="Calibri" w:hAnsi="Calibri"/>
                <w:sz w:val="20"/>
              </w:rPr>
              <w:t>p-value</w:t>
            </w:r>
          </w:p>
        </w:tc>
      </w:tr>
      <w:tr w:rsidR="00AE18F8" w:rsidRPr="00AE18F8" w14:paraId="0DEDFD5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52"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D53" w14:textId="77777777" w:rsidR="00192E91" w:rsidRPr="00AE18F8" w:rsidRDefault="001147A4">
            <w:pPr>
              <w:keepNext/>
              <w:spacing w:after="60"/>
              <w:jc w:val="right"/>
            </w:pPr>
            <w:r w:rsidRPr="00AE18F8">
              <w:rPr>
                <w:rFonts w:ascii="Calibri" w:hAnsi="Calibri"/>
                <w:sz w:val="20"/>
              </w:rPr>
              <w:t>7.211</w:t>
            </w:r>
          </w:p>
        </w:tc>
        <w:tc>
          <w:tcPr>
            <w:tcW w:w="0" w:type="auto"/>
            <w:tcBorders>
              <w:top w:val="single" w:sz="0" w:space="0" w:color="D3D3D3"/>
              <w:left w:val="single" w:sz="0" w:space="0" w:color="D3D3D3"/>
              <w:bottom w:val="single" w:sz="0" w:space="0" w:color="D3D3D3"/>
              <w:right w:val="single" w:sz="0" w:space="0" w:color="D3D3D3"/>
            </w:tcBorders>
          </w:tcPr>
          <w:p w14:paraId="0DEDFD54" w14:textId="77777777" w:rsidR="00192E91" w:rsidRPr="00AE18F8" w:rsidRDefault="001147A4">
            <w:pPr>
              <w:keepNext/>
              <w:spacing w:after="60"/>
              <w:jc w:val="right"/>
            </w:pPr>
            <w:r w:rsidRPr="00AE18F8">
              <w:rPr>
                <w:rFonts w:ascii="Calibri" w:hAnsi="Calibri"/>
                <w:sz w:val="20"/>
              </w:rPr>
              <w:t>0.423</w:t>
            </w:r>
          </w:p>
        </w:tc>
        <w:tc>
          <w:tcPr>
            <w:tcW w:w="0" w:type="auto"/>
            <w:tcBorders>
              <w:top w:val="single" w:sz="0" w:space="0" w:color="D3D3D3"/>
              <w:left w:val="single" w:sz="0" w:space="0" w:color="D3D3D3"/>
              <w:bottom w:val="single" w:sz="0" w:space="0" w:color="D3D3D3"/>
              <w:right w:val="single" w:sz="0" w:space="0" w:color="D3D3D3"/>
            </w:tcBorders>
          </w:tcPr>
          <w:p w14:paraId="0DEDFD55" w14:textId="77777777" w:rsidR="00192E91" w:rsidRPr="00AE18F8" w:rsidRDefault="001147A4">
            <w:pPr>
              <w:keepNext/>
              <w:spacing w:after="60"/>
              <w:jc w:val="right"/>
            </w:pPr>
            <w:r w:rsidRPr="00AE18F8">
              <w:rPr>
                <w:rFonts w:ascii="Calibri" w:hAnsi="Calibri"/>
                <w:sz w:val="20"/>
              </w:rPr>
              <w:t>17.03997</w:t>
            </w:r>
          </w:p>
        </w:tc>
        <w:tc>
          <w:tcPr>
            <w:tcW w:w="0" w:type="auto"/>
            <w:tcBorders>
              <w:top w:val="single" w:sz="0" w:space="0" w:color="D3D3D3"/>
              <w:left w:val="single" w:sz="0" w:space="0" w:color="D3D3D3"/>
              <w:bottom w:val="single" w:sz="0" w:space="0" w:color="D3D3D3"/>
              <w:right w:val="single" w:sz="0" w:space="0" w:color="D3D3D3"/>
            </w:tcBorders>
          </w:tcPr>
          <w:p w14:paraId="0DEDFD56" w14:textId="77777777" w:rsidR="00192E91" w:rsidRPr="00AE18F8" w:rsidRDefault="001147A4">
            <w:pPr>
              <w:keepNext/>
              <w:spacing w:after="60"/>
              <w:jc w:val="right"/>
            </w:pPr>
            <w:r w:rsidRPr="00AE18F8">
              <w:rPr>
                <w:rFonts w:ascii="Calibri" w:hAnsi="Calibri"/>
                <w:sz w:val="20"/>
              </w:rPr>
              <w:t>4.149447e-65</w:t>
            </w:r>
          </w:p>
        </w:tc>
      </w:tr>
      <w:tr w:rsidR="00AE18F8" w:rsidRPr="00AE18F8" w14:paraId="0DEDFD5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58"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D59" w14:textId="77777777" w:rsidR="00192E91" w:rsidRPr="00AE18F8" w:rsidRDefault="001147A4">
            <w:pPr>
              <w:keepNext/>
              <w:spacing w:after="60"/>
              <w:jc w:val="right"/>
            </w:pPr>
            <w:r w:rsidRPr="00AE18F8">
              <w:rPr>
                <w:rFonts w:ascii="Calibri" w:hAnsi="Calibri"/>
                <w:sz w:val="20"/>
              </w:rPr>
              <w:t>0.955</w:t>
            </w:r>
          </w:p>
        </w:tc>
        <w:tc>
          <w:tcPr>
            <w:tcW w:w="0" w:type="auto"/>
            <w:tcBorders>
              <w:top w:val="single" w:sz="0" w:space="0" w:color="D3D3D3"/>
              <w:left w:val="single" w:sz="0" w:space="0" w:color="D3D3D3"/>
              <w:bottom w:val="single" w:sz="0" w:space="0" w:color="D3D3D3"/>
              <w:right w:val="single" w:sz="0" w:space="0" w:color="D3D3D3"/>
            </w:tcBorders>
          </w:tcPr>
          <w:p w14:paraId="0DEDFD5A" w14:textId="77777777" w:rsidR="00192E91" w:rsidRPr="00AE18F8" w:rsidRDefault="001147A4">
            <w:pPr>
              <w:keepNext/>
              <w:spacing w:after="60"/>
              <w:jc w:val="right"/>
            </w:pPr>
            <w:r w:rsidRPr="00AE18F8">
              <w:rPr>
                <w:rFonts w:ascii="Calibri" w:hAnsi="Calibri"/>
                <w:sz w:val="20"/>
              </w:rPr>
              <w:t>0.098</w:t>
            </w:r>
          </w:p>
        </w:tc>
        <w:tc>
          <w:tcPr>
            <w:tcW w:w="0" w:type="auto"/>
            <w:tcBorders>
              <w:top w:val="single" w:sz="0" w:space="0" w:color="D3D3D3"/>
              <w:left w:val="single" w:sz="0" w:space="0" w:color="D3D3D3"/>
              <w:bottom w:val="single" w:sz="0" w:space="0" w:color="D3D3D3"/>
              <w:right w:val="single" w:sz="0" w:space="0" w:color="D3D3D3"/>
            </w:tcBorders>
          </w:tcPr>
          <w:p w14:paraId="0DEDFD5B" w14:textId="77777777" w:rsidR="00192E91" w:rsidRPr="00AE18F8" w:rsidRDefault="001147A4">
            <w:pPr>
              <w:keepNext/>
              <w:spacing w:after="60"/>
              <w:jc w:val="right"/>
            </w:pPr>
            <w:r w:rsidRPr="00AE18F8">
              <w:rPr>
                <w:rFonts w:ascii="Calibri" w:hAnsi="Calibri"/>
                <w:sz w:val="20"/>
              </w:rPr>
              <w:t>9.75628</w:t>
            </w:r>
          </w:p>
        </w:tc>
        <w:tc>
          <w:tcPr>
            <w:tcW w:w="0" w:type="auto"/>
            <w:tcBorders>
              <w:top w:val="single" w:sz="0" w:space="0" w:color="D3D3D3"/>
              <w:left w:val="single" w:sz="0" w:space="0" w:color="D3D3D3"/>
              <w:bottom w:val="single" w:sz="0" w:space="0" w:color="D3D3D3"/>
              <w:right w:val="single" w:sz="0" w:space="0" w:color="D3D3D3"/>
            </w:tcBorders>
          </w:tcPr>
          <w:p w14:paraId="0DEDFD5C" w14:textId="77777777" w:rsidR="00192E91" w:rsidRPr="00AE18F8" w:rsidRDefault="001147A4">
            <w:pPr>
              <w:keepNext/>
              <w:spacing w:after="60"/>
              <w:jc w:val="right"/>
            </w:pPr>
            <w:r w:rsidRPr="00AE18F8">
              <w:rPr>
                <w:rFonts w:ascii="Calibri" w:hAnsi="Calibri"/>
                <w:sz w:val="20"/>
              </w:rPr>
              <w:t>1.733997e-22</w:t>
            </w:r>
          </w:p>
        </w:tc>
      </w:tr>
      <w:tr w:rsidR="00AE18F8" w:rsidRPr="00AE18F8" w14:paraId="0DEDFD5F" w14:textId="77777777">
        <w:trPr>
          <w:cantSplit/>
          <w:jc w:val="center"/>
        </w:trPr>
        <w:tc>
          <w:tcPr>
            <w:tcW w:w="0" w:type="auto"/>
            <w:gridSpan w:val="5"/>
          </w:tcPr>
          <w:p w14:paraId="0DEDFD5E" w14:textId="77777777" w:rsidR="00192E91" w:rsidRPr="00AE18F8" w:rsidRDefault="001147A4">
            <w:pPr>
              <w:keepNext/>
              <w:spacing w:after="60"/>
            </w:pPr>
            <w:r w:rsidRPr="00AE18F8">
              <w:rPr>
                <w:rFonts w:ascii="Calibri" w:hAnsi="Calibri"/>
                <w:sz w:val="20"/>
              </w:rPr>
              <w:t>log-likelihood = -519.654502733426</w:t>
            </w:r>
          </w:p>
        </w:tc>
      </w:tr>
      <w:tr w:rsidR="00AE18F8" w:rsidRPr="00AE18F8" w14:paraId="0DEDFD61" w14:textId="77777777">
        <w:trPr>
          <w:cantSplit/>
          <w:jc w:val="center"/>
        </w:trPr>
        <w:tc>
          <w:tcPr>
            <w:tcW w:w="0" w:type="auto"/>
            <w:gridSpan w:val="5"/>
          </w:tcPr>
          <w:p w14:paraId="0DEDFD60" w14:textId="77777777" w:rsidR="00192E91" w:rsidRPr="00AE18F8" w:rsidRDefault="001147A4">
            <w:pPr>
              <w:keepNext/>
              <w:spacing w:after="60"/>
            </w:pPr>
            <w:r w:rsidRPr="00AE18F8">
              <w:rPr>
                <w:rFonts w:ascii="Calibri" w:hAnsi="Calibri"/>
                <w:sz w:val="20"/>
              </w:rPr>
              <w:t>AIC = 1043.30900546685</w:t>
            </w:r>
          </w:p>
        </w:tc>
      </w:tr>
      <w:tr w:rsidR="00AE18F8" w:rsidRPr="00AE18F8" w14:paraId="0DEDFD63" w14:textId="77777777">
        <w:trPr>
          <w:cantSplit/>
          <w:jc w:val="center"/>
        </w:trPr>
        <w:tc>
          <w:tcPr>
            <w:tcW w:w="0" w:type="auto"/>
            <w:gridSpan w:val="5"/>
          </w:tcPr>
          <w:p w14:paraId="0DEDFD62" w14:textId="77777777" w:rsidR="00192E91" w:rsidRPr="00AE18F8" w:rsidRDefault="001147A4">
            <w:pPr>
              <w:keepNext/>
              <w:spacing w:after="60"/>
            </w:pPr>
            <w:r w:rsidRPr="00AE18F8">
              <w:rPr>
                <w:rFonts w:ascii="Calibri" w:hAnsi="Calibri"/>
                <w:sz w:val="20"/>
              </w:rPr>
              <w:t>BIC = 1053.17390125</w:t>
            </w:r>
          </w:p>
        </w:tc>
      </w:tr>
    </w:tbl>
    <w:tbl>
      <w:tblPr>
        <w:tblStyle w:val="Table"/>
        <w:tblW w:w="5000" w:type="pct"/>
        <w:tblLayout w:type="fixed"/>
        <w:tblLook w:val="0000" w:firstRow="0" w:lastRow="0" w:firstColumn="0" w:lastColumn="0" w:noHBand="0" w:noVBand="0"/>
      </w:tblPr>
      <w:tblGrid>
        <w:gridCol w:w="9360"/>
      </w:tblGrid>
      <w:tr w:rsidR="00AE18F8" w:rsidRPr="00AE18F8" w14:paraId="0DEDFD68" w14:textId="77777777">
        <w:tc>
          <w:tcPr>
            <w:tcW w:w="7920" w:type="dxa"/>
          </w:tcPr>
          <w:p w14:paraId="0DEDFD64" w14:textId="77777777" w:rsidR="00192E91" w:rsidRPr="00AE18F8" w:rsidRDefault="001147A4">
            <w:pPr>
              <w:pStyle w:val="ImageCaption"/>
              <w:spacing w:before="200"/>
            </w:pPr>
            <w:bookmarkStart w:id="24" w:name="tbl-km-log_normal-ch1"/>
            <w:r w:rsidRPr="00AE18F8">
              <w:t>Table 4: Survival model fit summary (log-normal distribution)</w:t>
            </w:r>
          </w:p>
          <w:bookmarkEnd w:id="24"/>
          <w:p w14:paraId="0DEDFD67" w14:textId="77777777" w:rsidR="00192E91" w:rsidRPr="00AE18F8" w:rsidRDefault="00192E91"/>
        </w:tc>
      </w:tr>
    </w:tbl>
    <w:p w14:paraId="0DEDFD69" w14:textId="77777777" w:rsidR="00192E91" w:rsidRPr="00AE18F8" w:rsidRDefault="001147A4">
      <w:r w:rsidRPr="00AE18F8">
        <w:br w:type="page"/>
      </w:r>
    </w:p>
    <w:p w14:paraId="0DEDFD6A" w14:textId="77777777" w:rsidR="00192E91" w:rsidRPr="00AE18F8" w:rsidRDefault="001147A4">
      <w:pPr>
        <w:pStyle w:val="Heading4"/>
        <w:rPr>
          <w:color w:val="auto"/>
        </w:rPr>
      </w:pPr>
      <w:bookmarkStart w:id="25" w:name="log-logistic"/>
      <w:bookmarkEnd w:id="22"/>
      <w:r w:rsidRPr="00AE18F8">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AE18F8" w:rsidRPr="00AE18F8" w14:paraId="0DEDFD6D"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6B" w14:textId="77777777" w:rsidR="00192E91" w:rsidRPr="00AE18F8" w:rsidRDefault="001147A4">
            <w:pPr>
              <w:pStyle w:val="Compact"/>
              <w:jc w:val="center"/>
            </w:pPr>
            <w:bookmarkStart w:id="26" w:name="fig-km-log_logistic-ch1"/>
            <w:r w:rsidRPr="00AE18F8">
              <w:rPr>
                <w:noProof/>
              </w:rPr>
              <w:drawing>
                <wp:inline distT="0" distB="0" distL="0" distR="0" wp14:anchorId="0DEDFF4D" wp14:editId="0DEDFF4E">
                  <wp:extent cx="5943600" cy="3657600"/>
                  <wp:effectExtent l="0" t="0" r="0" b="0"/>
                  <wp:docPr id="62" name="Picture" title="A Kaplan-Meier plot showing overall survival over time for individuals who have received venetoclax with obinutuzumab, with an overlaid log-logistic model fit."/>
                  <wp:cNvGraphicFramePr/>
                  <a:graphic xmlns:a="http://schemas.openxmlformats.org/drawingml/2006/main">
                    <a:graphicData uri="http://schemas.openxmlformats.org/drawingml/2006/picture">
                      <pic:pic xmlns:pic="http://schemas.openxmlformats.org/drawingml/2006/picture">
                        <pic:nvPicPr>
                          <pic:cNvPr id="63" name="Picture" descr="ID6232_veno_veni_cll_monthly._ss_files/figure-docx/fig-km-log_logistic-ch1-1.png"/>
                          <pic:cNvPicPr>
                            <a:picLocks noChangeAspect="1" noChangeArrowheads="1"/>
                          </pic:cNvPicPr>
                        </pic:nvPicPr>
                        <pic:blipFill>
                          <a:blip r:embed="rId13"/>
                          <a:stretch>
                            <a:fillRect/>
                          </a:stretch>
                        </pic:blipFill>
                        <pic:spPr bwMode="auto">
                          <a:xfrm>
                            <a:off x="0" y="0"/>
                            <a:ext cx="5943600" cy="3657600"/>
                          </a:xfrm>
                          <a:prstGeom prst="rect">
                            <a:avLst/>
                          </a:prstGeom>
                          <a:noFill/>
                          <a:ln w="9525">
                            <a:noFill/>
                            <a:headEnd/>
                            <a:tailEnd/>
                          </a:ln>
                        </pic:spPr>
                      </pic:pic>
                    </a:graphicData>
                  </a:graphic>
                </wp:inline>
              </w:drawing>
            </w:r>
          </w:p>
          <w:p w14:paraId="0DEDFD6C" w14:textId="6252EBE2" w:rsidR="00192E91" w:rsidRPr="00AE18F8" w:rsidRDefault="001147A4">
            <w:pPr>
              <w:pStyle w:val="ImageCaption"/>
              <w:spacing w:before="200"/>
            </w:pPr>
            <w:r w:rsidRPr="00AE18F8">
              <w:t>Figure </w:t>
            </w:r>
            <w:r w:rsidR="00B23E74" w:rsidRPr="00AE18F8">
              <w:t>7</w:t>
            </w:r>
            <w:r w:rsidRPr="00AE18F8">
              <w:t>: Overall survival against log-logistic survival function</w:t>
            </w:r>
          </w:p>
        </w:tc>
        <w:bookmarkEnd w:id="26"/>
      </w:tr>
    </w:tbl>
    <w:p w14:paraId="0DEDFD6E"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AE18F8" w:rsidRPr="00AE18F8" w14:paraId="0DEDFD74" w14:textId="77777777">
        <w:trPr>
          <w:cantSplit/>
          <w:tblHeader/>
          <w:jc w:val="center"/>
        </w:trPr>
        <w:tc>
          <w:tcPr>
            <w:tcW w:w="0" w:type="auto"/>
            <w:tcBorders>
              <w:top w:val="single" w:sz="16" w:space="0" w:color="D3D3D3"/>
              <w:left w:val="single" w:sz="0" w:space="0" w:color="D3D3D3"/>
              <w:bottom w:val="single" w:sz="16" w:space="0" w:color="D3D3D3"/>
            </w:tcBorders>
          </w:tcPr>
          <w:p w14:paraId="0DEDFD6F"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70"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71"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72"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D73" w14:textId="77777777" w:rsidR="00192E91" w:rsidRPr="00AE18F8" w:rsidRDefault="001147A4">
            <w:pPr>
              <w:keepNext/>
              <w:spacing w:after="60"/>
              <w:jc w:val="right"/>
            </w:pPr>
            <w:r w:rsidRPr="00AE18F8">
              <w:rPr>
                <w:rFonts w:ascii="Calibri" w:hAnsi="Calibri"/>
                <w:sz w:val="20"/>
              </w:rPr>
              <w:t>p-value</w:t>
            </w:r>
          </w:p>
        </w:tc>
      </w:tr>
      <w:tr w:rsidR="00AE18F8" w:rsidRPr="00AE18F8" w14:paraId="0DEDFD7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75"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D76" w14:textId="77777777" w:rsidR="00192E91" w:rsidRPr="00AE18F8" w:rsidRDefault="001147A4">
            <w:pPr>
              <w:keepNext/>
              <w:spacing w:after="60"/>
              <w:jc w:val="right"/>
            </w:pPr>
            <w:r w:rsidRPr="00AE18F8">
              <w:rPr>
                <w:rFonts w:ascii="Calibri" w:hAnsi="Calibri"/>
                <w:sz w:val="20"/>
              </w:rPr>
              <w:t>6.316</w:t>
            </w:r>
          </w:p>
        </w:tc>
        <w:tc>
          <w:tcPr>
            <w:tcW w:w="0" w:type="auto"/>
            <w:tcBorders>
              <w:top w:val="single" w:sz="0" w:space="0" w:color="D3D3D3"/>
              <w:left w:val="single" w:sz="0" w:space="0" w:color="D3D3D3"/>
              <w:bottom w:val="single" w:sz="0" w:space="0" w:color="D3D3D3"/>
              <w:right w:val="single" w:sz="0" w:space="0" w:color="D3D3D3"/>
            </w:tcBorders>
          </w:tcPr>
          <w:p w14:paraId="0DEDFD77" w14:textId="77777777" w:rsidR="00192E91" w:rsidRPr="00AE18F8" w:rsidRDefault="001147A4">
            <w:pPr>
              <w:keepNext/>
              <w:spacing w:after="60"/>
              <w:jc w:val="right"/>
            </w:pPr>
            <w:r w:rsidRPr="00AE18F8">
              <w:rPr>
                <w:rFonts w:ascii="Calibri" w:hAnsi="Calibri"/>
                <w:sz w:val="20"/>
              </w:rPr>
              <w:t>0.336</w:t>
            </w:r>
          </w:p>
        </w:tc>
        <w:tc>
          <w:tcPr>
            <w:tcW w:w="0" w:type="auto"/>
            <w:tcBorders>
              <w:top w:val="single" w:sz="0" w:space="0" w:color="D3D3D3"/>
              <w:left w:val="single" w:sz="0" w:space="0" w:color="D3D3D3"/>
              <w:bottom w:val="single" w:sz="0" w:space="0" w:color="D3D3D3"/>
              <w:right w:val="single" w:sz="0" w:space="0" w:color="D3D3D3"/>
            </w:tcBorders>
          </w:tcPr>
          <w:p w14:paraId="0DEDFD78" w14:textId="77777777" w:rsidR="00192E91" w:rsidRPr="00AE18F8" w:rsidRDefault="001147A4">
            <w:pPr>
              <w:keepNext/>
              <w:spacing w:after="60"/>
              <w:jc w:val="right"/>
            </w:pPr>
            <w:r w:rsidRPr="00AE18F8">
              <w:rPr>
                <w:rFonts w:ascii="Calibri" w:hAnsi="Calibri"/>
                <w:sz w:val="20"/>
              </w:rPr>
              <w:t>18.801145</w:t>
            </w:r>
          </w:p>
        </w:tc>
        <w:tc>
          <w:tcPr>
            <w:tcW w:w="0" w:type="auto"/>
            <w:tcBorders>
              <w:top w:val="single" w:sz="0" w:space="0" w:color="D3D3D3"/>
              <w:left w:val="single" w:sz="0" w:space="0" w:color="D3D3D3"/>
              <w:bottom w:val="single" w:sz="0" w:space="0" w:color="D3D3D3"/>
              <w:right w:val="single" w:sz="0" w:space="0" w:color="D3D3D3"/>
            </w:tcBorders>
          </w:tcPr>
          <w:p w14:paraId="0DEDFD79" w14:textId="77777777" w:rsidR="00192E91" w:rsidRPr="00AE18F8" w:rsidRDefault="001147A4">
            <w:pPr>
              <w:keepNext/>
              <w:spacing w:after="60"/>
              <w:jc w:val="right"/>
            </w:pPr>
            <w:r w:rsidRPr="00AE18F8">
              <w:rPr>
                <w:rFonts w:ascii="Calibri" w:hAnsi="Calibri"/>
                <w:sz w:val="20"/>
              </w:rPr>
              <w:t>7.390301e-79</w:t>
            </w:r>
          </w:p>
        </w:tc>
      </w:tr>
      <w:tr w:rsidR="00AE18F8" w:rsidRPr="00AE18F8" w14:paraId="0DEDFD8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7B"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D7C" w14:textId="77777777" w:rsidR="00192E91" w:rsidRPr="00AE18F8" w:rsidRDefault="001147A4">
            <w:pPr>
              <w:keepNext/>
              <w:spacing w:after="60"/>
              <w:jc w:val="right"/>
            </w:pPr>
            <w:r w:rsidRPr="00AE18F8">
              <w:rPr>
                <w:rFonts w:ascii="Calibri" w:hAnsi="Calibri"/>
                <w:sz w:val="20"/>
              </w:rPr>
              <w:t>0.121</w:t>
            </w:r>
          </w:p>
        </w:tc>
        <w:tc>
          <w:tcPr>
            <w:tcW w:w="0" w:type="auto"/>
            <w:tcBorders>
              <w:top w:val="single" w:sz="0" w:space="0" w:color="D3D3D3"/>
              <w:left w:val="single" w:sz="0" w:space="0" w:color="D3D3D3"/>
              <w:bottom w:val="single" w:sz="0" w:space="0" w:color="D3D3D3"/>
              <w:right w:val="single" w:sz="0" w:space="0" w:color="D3D3D3"/>
            </w:tcBorders>
          </w:tcPr>
          <w:p w14:paraId="0DEDFD7D" w14:textId="77777777" w:rsidR="00192E91" w:rsidRPr="00AE18F8" w:rsidRDefault="001147A4">
            <w:pPr>
              <w:keepNext/>
              <w:spacing w:after="60"/>
              <w:jc w:val="right"/>
            </w:pPr>
            <w:r w:rsidRPr="00AE18F8">
              <w:rPr>
                <w:rFonts w:ascii="Calibri" w:hAnsi="Calibri"/>
                <w:sz w:val="20"/>
              </w:rPr>
              <w:t>0.108</w:t>
            </w:r>
          </w:p>
        </w:tc>
        <w:tc>
          <w:tcPr>
            <w:tcW w:w="0" w:type="auto"/>
            <w:tcBorders>
              <w:top w:val="single" w:sz="0" w:space="0" w:color="D3D3D3"/>
              <w:left w:val="single" w:sz="0" w:space="0" w:color="D3D3D3"/>
              <w:bottom w:val="single" w:sz="0" w:space="0" w:color="D3D3D3"/>
              <w:right w:val="single" w:sz="0" w:space="0" w:color="D3D3D3"/>
            </w:tcBorders>
          </w:tcPr>
          <w:p w14:paraId="0DEDFD7E" w14:textId="77777777" w:rsidR="00192E91" w:rsidRPr="00AE18F8" w:rsidRDefault="001147A4">
            <w:pPr>
              <w:keepNext/>
              <w:spacing w:after="60"/>
              <w:jc w:val="right"/>
            </w:pPr>
            <w:r w:rsidRPr="00AE18F8">
              <w:rPr>
                <w:rFonts w:ascii="Calibri" w:hAnsi="Calibri"/>
                <w:sz w:val="20"/>
              </w:rPr>
              <w:t>1.124104</w:t>
            </w:r>
          </w:p>
        </w:tc>
        <w:tc>
          <w:tcPr>
            <w:tcW w:w="0" w:type="auto"/>
            <w:tcBorders>
              <w:top w:val="single" w:sz="0" w:space="0" w:color="D3D3D3"/>
              <w:left w:val="single" w:sz="0" w:space="0" w:color="D3D3D3"/>
              <w:bottom w:val="single" w:sz="0" w:space="0" w:color="D3D3D3"/>
              <w:right w:val="single" w:sz="0" w:space="0" w:color="D3D3D3"/>
            </w:tcBorders>
          </w:tcPr>
          <w:p w14:paraId="0DEDFD7F" w14:textId="77777777" w:rsidR="00192E91" w:rsidRPr="00AE18F8" w:rsidRDefault="001147A4">
            <w:pPr>
              <w:keepNext/>
              <w:spacing w:after="60"/>
              <w:jc w:val="right"/>
            </w:pPr>
            <w:r w:rsidRPr="00AE18F8">
              <w:rPr>
                <w:rFonts w:ascii="Calibri" w:hAnsi="Calibri"/>
                <w:sz w:val="20"/>
              </w:rPr>
              <w:t>2.609688e-01</w:t>
            </w:r>
          </w:p>
        </w:tc>
      </w:tr>
      <w:tr w:rsidR="00AE18F8" w:rsidRPr="00AE18F8" w14:paraId="0DEDFD82" w14:textId="77777777">
        <w:trPr>
          <w:cantSplit/>
          <w:jc w:val="center"/>
        </w:trPr>
        <w:tc>
          <w:tcPr>
            <w:tcW w:w="0" w:type="auto"/>
            <w:gridSpan w:val="5"/>
          </w:tcPr>
          <w:p w14:paraId="0DEDFD81" w14:textId="77777777" w:rsidR="00192E91" w:rsidRPr="00AE18F8" w:rsidRDefault="001147A4">
            <w:pPr>
              <w:keepNext/>
              <w:spacing w:after="60"/>
            </w:pPr>
            <w:r w:rsidRPr="00AE18F8">
              <w:rPr>
                <w:rFonts w:ascii="Calibri" w:hAnsi="Calibri"/>
                <w:sz w:val="20"/>
              </w:rPr>
              <w:t>log-likelihood = -520.018404844033</w:t>
            </w:r>
          </w:p>
        </w:tc>
      </w:tr>
      <w:tr w:rsidR="00AE18F8" w:rsidRPr="00AE18F8" w14:paraId="0DEDFD84" w14:textId="77777777">
        <w:trPr>
          <w:cantSplit/>
          <w:jc w:val="center"/>
        </w:trPr>
        <w:tc>
          <w:tcPr>
            <w:tcW w:w="0" w:type="auto"/>
            <w:gridSpan w:val="5"/>
          </w:tcPr>
          <w:p w14:paraId="0DEDFD83" w14:textId="77777777" w:rsidR="00192E91" w:rsidRPr="00AE18F8" w:rsidRDefault="001147A4">
            <w:pPr>
              <w:keepNext/>
              <w:spacing w:after="60"/>
            </w:pPr>
            <w:r w:rsidRPr="00AE18F8">
              <w:rPr>
                <w:rFonts w:ascii="Calibri" w:hAnsi="Calibri"/>
                <w:sz w:val="20"/>
              </w:rPr>
              <w:t>AIC = 1044.03680968807</w:t>
            </w:r>
          </w:p>
        </w:tc>
      </w:tr>
      <w:tr w:rsidR="00AE18F8" w:rsidRPr="00AE18F8" w14:paraId="0DEDFD86" w14:textId="77777777">
        <w:trPr>
          <w:cantSplit/>
          <w:jc w:val="center"/>
        </w:trPr>
        <w:tc>
          <w:tcPr>
            <w:tcW w:w="0" w:type="auto"/>
            <w:gridSpan w:val="5"/>
          </w:tcPr>
          <w:p w14:paraId="0DEDFD85" w14:textId="77777777" w:rsidR="00192E91" w:rsidRPr="00AE18F8" w:rsidRDefault="001147A4">
            <w:pPr>
              <w:keepNext/>
              <w:spacing w:after="60"/>
            </w:pPr>
            <w:r w:rsidRPr="00AE18F8">
              <w:rPr>
                <w:rFonts w:ascii="Calibri" w:hAnsi="Calibri"/>
                <w:sz w:val="20"/>
              </w:rPr>
              <w:t>BIC = 1053.90170547121</w:t>
            </w:r>
          </w:p>
        </w:tc>
      </w:tr>
    </w:tbl>
    <w:tbl>
      <w:tblPr>
        <w:tblStyle w:val="Table"/>
        <w:tblW w:w="5000" w:type="pct"/>
        <w:tblLayout w:type="fixed"/>
        <w:tblLook w:val="0000" w:firstRow="0" w:lastRow="0" w:firstColumn="0" w:lastColumn="0" w:noHBand="0" w:noVBand="0"/>
      </w:tblPr>
      <w:tblGrid>
        <w:gridCol w:w="9360"/>
      </w:tblGrid>
      <w:tr w:rsidR="00AE18F8" w:rsidRPr="00AE18F8" w14:paraId="0DEDFD8B" w14:textId="77777777">
        <w:tc>
          <w:tcPr>
            <w:tcW w:w="7920" w:type="dxa"/>
          </w:tcPr>
          <w:p w14:paraId="0DEDFD87" w14:textId="77777777" w:rsidR="00192E91" w:rsidRPr="00AE18F8" w:rsidRDefault="001147A4">
            <w:pPr>
              <w:pStyle w:val="ImageCaption"/>
              <w:spacing w:before="200"/>
            </w:pPr>
            <w:bookmarkStart w:id="27" w:name="tbl-km-log_logistic-ch1"/>
            <w:r w:rsidRPr="00AE18F8">
              <w:t>Table 5: Survival model fit summary (log-logistic distribution)</w:t>
            </w:r>
          </w:p>
          <w:bookmarkEnd w:id="27"/>
          <w:p w14:paraId="0DEDFD8A" w14:textId="77777777" w:rsidR="00192E91" w:rsidRPr="00AE18F8" w:rsidRDefault="00192E91"/>
        </w:tc>
      </w:tr>
    </w:tbl>
    <w:p w14:paraId="0DEDFD8C" w14:textId="77777777" w:rsidR="00192E91" w:rsidRPr="00AE18F8" w:rsidRDefault="001147A4">
      <w:r w:rsidRPr="00AE18F8">
        <w:br w:type="page"/>
      </w:r>
    </w:p>
    <w:p w14:paraId="0DEDFD8D" w14:textId="77777777" w:rsidR="00192E91" w:rsidRPr="00AE18F8" w:rsidRDefault="001147A4">
      <w:pPr>
        <w:pStyle w:val="Heading4"/>
        <w:rPr>
          <w:color w:val="auto"/>
        </w:rPr>
      </w:pPr>
      <w:bookmarkStart w:id="28" w:name="gaussian"/>
      <w:bookmarkEnd w:id="25"/>
      <w:r w:rsidRPr="00AE18F8">
        <w:rPr>
          <w:color w:val="auto"/>
        </w:rPr>
        <w:lastRenderedPageBreak/>
        <w:t>Gaussian</w:t>
      </w:r>
    </w:p>
    <w:tbl>
      <w:tblPr>
        <w:tblStyle w:val="Table"/>
        <w:tblW w:w="5000" w:type="pct"/>
        <w:tblLayout w:type="fixed"/>
        <w:tblLook w:val="0020" w:firstRow="1" w:lastRow="0" w:firstColumn="0" w:lastColumn="0" w:noHBand="0" w:noVBand="0"/>
      </w:tblPr>
      <w:tblGrid>
        <w:gridCol w:w="9360"/>
      </w:tblGrid>
      <w:tr w:rsidR="00AE18F8" w:rsidRPr="00AE18F8" w14:paraId="0DEDFD90"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8E" w14:textId="77777777" w:rsidR="00192E91" w:rsidRPr="00AE18F8" w:rsidRDefault="001147A4">
            <w:pPr>
              <w:pStyle w:val="Compact"/>
              <w:jc w:val="center"/>
            </w:pPr>
            <w:bookmarkStart w:id="29" w:name="fig-km-Gaussian-ch1"/>
            <w:r w:rsidRPr="00AE18F8">
              <w:rPr>
                <w:noProof/>
              </w:rPr>
              <w:drawing>
                <wp:inline distT="0" distB="0" distL="0" distR="0" wp14:anchorId="0DEDFF4F" wp14:editId="0DEDFF50">
                  <wp:extent cx="5943600" cy="3657600"/>
                  <wp:effectExtent l="0" t="0" r="0" b="0"/>
                  <wp:docPr id="68" name="Picture" title="A Kaplan-Meier plot showing overall survival over time for individuals who have received venetoclax with obinutuzumab, with an overlaid Gaussian model fit."/>
                  <wp:cNvGraphicFramePr/>
                  <a:graphic xmlns:a="http://schemas.openxmlformats.org/drawingml/2006/main">
                    <a:graphicData uri="http://schemas.openxmlformats.org/drawingml/2006/picture">
                      <pic:pic xmlns:pic="http://schemas.openxmlformats.org/drawingml/2006/picture">
                        <pic:nvPicPr>
                          <pic:cNvPr id="69" name="Picture" descr="ID6232_veno_veni_cll_monthly._ss_files/figure-docx/fig-km-Gaussian-ch1-1.png"/>
                          <pic:cNvPicPr>
                            <a:picLocks noChangeAspect="1" noChangeArrowheads="1"/>
                          </pic:cNvPicPr>
                        </pic:nvPicPr>
                        <pic:blipFill>
                          <a:blip r:embed="rId14"/>
                          <a:stretch>
                            <a:fillRect/>
                          </a:stretch>
                        </pic:blipFill>
                        <pic:spPr bwMode="auto">
                          <a:xfrm>
                            <a:off x="0" y="0"/>
                            <a:ext cx="5943600" cy="3657600"/>
                          </a:xfrm>
                          <a:prstGeom prst="rect">
                            <a:avLst/>
                          </a:prstGeom>
                          <a:noFill/>
                          <a:ln w="9525">
                            <a:noFill/>
                            <a:headEnd/>
                            <a:tailEnd/>
                          </a:ln>
                        </pic:spPr>
                      </pic:pic>
                    </a:graphicData>
                  </a:graphic>
                </wp:inline>
              </w:drawing>
            </w:r>
          </w:p>
          <w:p w14:paraId="0DEDFD8F" w14:textId="2A0C8BCD" w:rsidR="00192E91" w:rsidRPr="00AE18F8" w:rsidRDefault="001147A4">
            <w:pPr>
              <w:pStyle w:val="ImageCaption"/>
              <w:spacing w:before="200"/>
            </w:pPr>
            <w:r w:rsidRPr="00AE18F8">
              <w:t>Figure </w:t>
            </w:r>
            <w:r w:rsidR="00B23E74" w:rsidRPr="00AE18F8">
              <w:t>8</w:t>
            </w:r>
            <w:r w:rsidRPr="00AE18F8">
              <w:t>: Overall survival against Gaussian survival function</w:t>
            </w:r>
          </w:p>
        </w:tc>
        <w:bookmarkEnd w:id="29"/>
      </w:tr>
    </w:tbl>
    <w:p w14:paraId="0DEDFD91"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282"/>
      </w:tblGrid>
      <w:tr w:rsidR="00AE18F8" w:rsidRPr="00AE18F8" w14:paraId="0DEDFD97" w14:textId="77777777">
        <w:trPr>
          <w:cantSplit/>
          <w:tblHeader/>
          <w:jc w:val="center"/>
        </w:trPr>
        <w:tc>
          <w:tcPr>
            <w:tcW w:w="0" w:type="auto"/>
            <w:tcBorders>
              <w:top w:val="single" w:sz="16" w:space="0" w:color="D3D3D3"/>
              <w:left w:val="single" w:sz="0" w:space="0" w:color="D3D3D3"/>
              <w:bottom w:val="single" w:sz="16" w:space="0" w:color="D3D3D3"/>
            </w:tcBorders>
          </w:tcPr>
          <w:p w14:paraId="0DEDFD92"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93"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94"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95"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D96" w14:textId="77777777" w:rsidR="00192E91" w:rsidRPr="00AE18F8" w:rsidRDefault="001147A4">
            <w:pPr>
              <w:keepNext/>
              <w:spacing w:after="60"/>
              <w:jc w:val="right"/>
            </w:pPr>
            <w:r w:rsidRPr="00AE18F8">
              <w:rPr>
                <w:rFonts w:ascii="Calibri" w:hAnsi="Calibri"/>
                <w:sz w:val="20"/>
              </w:rPr>
              <w:t>p-value</w:t>
            </w:r>
          </w:p>
        </w:tc>
      </w:tr>
      <w:tr w:rsidR="00AE18F8" w:rsidRPr="00AE18F8" w14:paraId="0DEDFD9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98"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D99" w14:textId="77777777" w:rsidR="00192E91" w:rsidRPr="00AE18F8" w:rsidRDefault="001147A4">
            <w:pPr>
              <w:keepNext/>
              <w:spacing w:after="60"/>
              <w:jc w:val="right"/>
            </w:pPr>
            <w:r w:rsidRPr="00AE18F8">
              <w:rPr>
                <w:rFonts w:ascii="Calibri" w:hAnsi="Calibri"/>
                <w:sz w:val="20"/>
              </w:rPr>
              <w:t>99.898</w:t>
            </w:r>
          </w:p>
        </w:tc>
        <w:tc>
          <w:tcPr>
            <w:tcW w:w="0" w:type="auto"/>
            <w:tcBorders>
              <w:top w:val="single" w:sz="0" w:space="0" w:color="D3D3D3"/>
              <w:left w:val="single" w:sz="0" w:space="0" w:color="D3D3D3"/>
              <w:bottom w:val="single" w:sz="0" w:space="0" w:color="D3D3D3"/>
              <w:right w:val="single" w:sz="0" w:space="0" w:color="D3D3D3"/>
            </w:tcBorders>
          </w:tcPr>
          <w:p w14:paraId="0DEDFD9A" w14:textId="77777777" w:rsidR="00192E91" w:rsidRPr="00AE18F8" w:rsidRDefault="001147A4">
            <w:pPr>
              <w:keepNext/>
              <w:spacing w:after="60"/>
              <w:jc w:val="right"/>
            </w:pPr>
            <w:r w:rsidRPr="00AE18F8">
              <w:rPr>
                <w:rFonts w:ascii="Calibri" w:hAnsi="Calibri"/>
                <w:sz w:val="20"/>
              </w:rPr>
              <w:t>7.124</w:t>
            </w:r>
          </w:p>
        </w:tc>
        <w:tc>
          <w:tcPr>
            <w:tcW w:w="0" w:type="auto"/>
            <w:tcBorders>
              <w:top w:val="single" w:sz="0" w:space="0" w:color="D3D3D3"/>
              <w:left w:val="single" w:sz="0" w:space="0" w:color="D3D3D3"/>
              <w:bottom w:val="single" w:sz="0" w:space="0" w:color="D3D3D3"/>
              <w:right w:val="single" w:sz="0" w:space="0" w:color="D3D3D3"/>
            </w:tcBorders>
          </w:tcPr>
          <w:p w14:paraId="0DEDFD9B" w14:textId="77777777" w:rsidR="00192E91" w:rsidRPr="00AE18F8" w:rsidRDefault="001147A4">
            <w:pPr>
              <w:keepNext/>
              <w:spacing w:after="60"/>
              <w:jc w:val="right"/>
            </w:pPr>
            <w:r w:rsidRPr="00AE18F8">
              <w:rPr>
                <w:rFonts w:ascii="Calibri" w:hAnsi="Calibri"/>
                <w:sz w:val="20"/>
              </w:rPr>
              <w:t>14.02304</w:t>
            </w:r>
          </w:p>
        </w:tc>
        <w:tc>
          <w:tcPr>
            <w:tcW w:w="0" w:type="auto"/>
            <w:tcBorders>
              <w:top w:val="single" w:sz="0" w:space="0" w:color="D3D3D3"/>
              <w:left w:val="single" w:sz="0" w:space="0" w:color="D3D3D3"/>
              <w:bottom w:val="single" w:sz="0" w:space="0" w:color="D3D3D3"/>
              <w:right w:val="single" w:sz="0" w:space="0" w:color="D3D3D3"/>
            </w:tcBorders>
          </w:tcPr>
          <w:p w14:paraId="0DEDFD9C" w14:textId="77777777" w:rsidR="00192E91" w:rsidRPr="00AE18F8" w:rsidRDefault="001147A4">
            <w:pPr>
              <w:keepNext/>
              <w:spacing w:after="60"/>
              <w:jc w:val="right"/>
            </w:pPr>
            <w:r w:rsidRPr="00AE18F8">
              <w:rPr>
                <w:rFonts w:ascii="Calibri" w:hAnsi="Calibri"/>
                <w:sz w:val="20"/>
              </w:rPr>
              <w:t>1.126789e-44</w:t>
            </w:r>
          </w:p>
        </w:tc>
      </w:tr>
      <w:tr w:rsidR="00AE18F8" w:rsidRPr="00AE18F8" w14:paraId="0DEDFDA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9E"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D9F" w14:textId="77777777" w:rsidR="00192E91" w:rsidRPr="00AE18F8" w:rsidRDefault="001147A4">
            <w:pPr>
              <w:keepNext/>
              <w:spacing w:after="60"/>
              <w:jc w:val="right"/>
            </w:pPr>
            <w:r w:rsidRPr="00AE18F8">
              <w:rPr>
                <w:rFonts w:ascii="Calibri" w:hAnsi="Calibri"/>
                <w:sz w:val="20"/>
              </w:rPr>
              <w:t>3.805</w:t>
            </w:r>
          </w:p>
        </w:tc>
        <w:tc>
          <w:tcPr>
            <w:tcW w:w="0" w:type="auto"/>
            <w:tcBorders>
              <w:top w:val="single" w:sz="0" w:space="0" w:color="D3D3D3"/>
              <w:left w:val="single" w:sz="0" w:space="0" w:color="D3D3D3"/>
              <w:bottom w:val="single" w:sz="0" w:space="0" w:color="D3D3D3"/>
              <w:right w:val="single" w:sz="0" w:space="0" w:color="D3D3D3"/>
            </w:tcBorders>
          </w:tcPr>
          <w:p w14:paraId="0DEDFDA0" w14:textId="77777777" w:rsidR="00192E91" w:rsidRPr="00AE18F8" w:rsidRDefault="001147A4">
            <w:pPr>
              <w:keepNext/>
              <w:spacing w:after="60"/>
              <w:jc w:val="right"/>
            </w:pPr>
            <w:r w:rsidRPr="00AE18F8">
              <w:rPr>
                <w:rFonts w:ascii="Calibri" w:hAnsi="Calibri"/>
                <w:sz w:val="20"/>
              </w:rPr>
              <w:t>0.096</w:t>
            </w:r>
          </w:p>
        </w:tc>
        <w:tc>
          <w:tcPr>
            <w:tcW w:w="0" w:type="auto"/>
            <w:tcBorders>
              <w:top w:val="single" w:sz="0" w:space="0" w:color="D3D3D3"/>
              <w:left w:val="single" w:sz="0" w:space="0" w:color="D3D3D3"/>
              <w:bottom w:val="single" w:sz="0" w:space="0" w:color="D3D3D3"/>
              <w:right w:val="single" w:sz="0" w:space="0" w:color="D3D3D3"/>
            </w:tcBorders>
          </w:tcPr>
          <w:p w14:paraId="0DEDFDA1" w14:textId="77777777" w:rsidR="00192E91" w:rsidRPr="00AE18F8" w:rsidRDefault="001147A4">
            <w:pPr>
              <w:keepNext/>
              <w:spacing w:after="60"/>
              <w:jc w:val="right"/>
            </w:pPr>
            <w:r w:rsidRPr="00AE18F8">
              <w:rPr>
                <w:rFonts w:ascii="Calibri" w:hAnsi="Calibri"/>
                <w:sz w:val="20"/>
              </w:rPr>
              <w:t>39.62632</w:t>
            </w:r>
          </w:p>
        </w:tc>
        <w:tc>
          <w:tcPr>
            <w:tcW w:w="0" w:type="auto"/>
            <w:tcBorders>
              <w:top w:val="single" w:sz="0" w:space="0" w:color="D3D3D3"/>
              <w:left w:val="single" w:sz="0" w:space="0" w:color="D3D3D3"/>
              <w:bottom w:val="single" w:sz="0" w:space="0" w:color="D3D3D3"/>
              <w:right w:val="single" w:sz="0" w:space="0" w:color="D3D3D3"/>
            </w:tcBorders>
          </w:tcPr>
          <w:p w14:paraId="0DEDFDA2" w14:textId="77777777" w:rsidR="00192E91" w:rsidRPr="00AE18F8" w:rsidRDefault="001147A4">
            <w:pPr>
              <w:keepNext/>
              <w:spacing w:after="60"/>
              <w:jc w:val="right"/>
            </w:pPr>
            <w:r w:rsidRPr="00AE18F8">
              <w:rPr>
                <w:rFonts w:ascii="Calibri" w:hAnsi="Calibri"/>
                <w:sz w:val="20"/>
              </w:rPr>
              <w:t>0.000000e+00</w:t>
            </w:r>
          </w:p>
        </w:tc>
      </w:tr>
      <w:tr w:rsidR="00AE18F8" w:rsidRPr="00AE18F8" w14:paraId="0DEDFDA5" w14:textId="77777777">
        <w:trPr>
          <w:cantSplit/>
          <w:jc w:val="center"/>
        </w:trPr>
        <w:tc>
          <w:tcPr>
            <w:tcW w:w="0" w:type="auto"/>
            <w:gridSpan w:val="5"/>
          </w:tcPr>
          <w:p w14:paraId="0DEDFDA4" w14:textId="77777777" w:rsidR="00192E91" w:rsidRPr="00AE18F8" w:rsidRDefault="001147A4">
            <w:pPr>
              <w:keepNext/>
              <w:spacing w:after="60"/>
            </w:pPr>
            <w:r w:rsidRPr="00AE18F8">
              <w:rPr>
                <w:rFonts w:ascii="Calibri" w:hAnsi="Calibri"/>
                <w:sz w:val="20"/>
              </w:rPr>
              <w:t>log-likelihood = -555.218638113062</w:t>
            </w:r>
          </w:p>
        </w:tc>
      </w:tr>
      <w:tr w:rsidR="00AE18F8" w:rsidRPr="00AE18F8" w14:paraId="0DEDFDA7" w14:textId="77777777">
        <w:trPr>
          <w:cantSplit/>
          <w:jc w:val="center"/>
        </w:trPr>
        <w:tc>
          <w:tcPr>
            <w:tcW w:w="0" w:type="auto"/>
            <w:gridSpan w:val="5"/>
          </w:tcPr>
          <w:p w14:paraId="0DEDFDA6" w14:textId="77777777" w:rsidR="00192E91" w:rsidRPr="00AE18F8" w:rsidRDefault="001147A4">
            <w:pPr>
              <w:keepNext/>
              <w:spacing w:after="60"/>
            </w:pPr>
            <w:r w:rsidRPr="00AE18F8">
              <w:rPr>
                <w:rFonts w:ascii="Calibri" w:hAnsi="Calibri"/>
                <w:sz w:val="20"/>
              </w:rPr>
              <w:t>AIC = 1114.43727622612</w:t>
            </w:r>
          </w:p>
        </w:tc>
      </w:tr>
      <w:tr w:rsidR="00AE18F8" w:rsidRPr="00AE18F8" w14:paraId="0DEDFDA9" w14:textId="77777777">
        <w:trPr>
          <w:cantSplit/>
          <w:jc w:val="center"/>
        </w:trPr>
        <w:tc>
          <w:tcPr>
            <w:tcW w:w="0" w:type="auto"/>
            <w:gridSpan w:val="5"/>
          </w:tcPr>
          <w:p w14:paraId="0DEDFDA8" w14:textId="77777777" w:rsidR="00192E91" w:rsidRPr="00AE18F8" w:rsidRDefault="001147A4">
            <w:pPr>
              <w:keepNext/>
              <w:spacing w:after="60"/>
            </w:pPr>
            <w:r w:rsidRPr="00AE18F8">
              <w:rPr>
                <w:rFonts w:ascii="Calibri" w:hAnsi="Calibri"/>
                <w:sz w:val="20"/>
              </w:rPr>
              <w:t>BIC = 1124.30217200927</w:t>
            </w:r>
          </w:p>
        </w:tc>
      </w:tr>
    </w:tbl>
    <w:tbl>
      <w:tblPr>
        <w:tblStyle w:val="Table"/>
        <w:tblW w:w="5000" w:type="pct"/>
        <w:tblLayout w:type="fixed"/>
        <w:tblLook w:val="0000" w:firstRow="0" w:lastRow="0" w:firstColumn="0" w:lastColumn="0" w:noHBand="0" w:noVBand="0"/>
      </w:tblPr>
      <w:tblGrid>
        <w:gridCol w:w="9360"/>
      </w:tblGrid>
      <w:tr w:rsidR="00AE18F8" w:rsidRPr="00AE18F8" w14:paraId="0DEDFDAE" w14:textId="77777777">
        <w:tc>
          <w:tcPr>
            <w:tcW w:w="7920" w:type="dxa"/>
          </w:tcPr>
          <w:p w14:paraId="0DEDFDAA" w14:textId="77777777" w:rsidR="00192E91" w:rsidRPr="00AE18F8" w:rsidRDefault="001147A4">
            <w:pPr>
              <w:pStyle w:val="ImageCaption"/>
              <w:spacing w:before="200"/>
            </w:pPr>
            <w:bookmarkStart w:id="30" w:name="tbl-km-Gaussian-ch1"/>
            <w:r w:rsidRPr="00AE18F8">
              <w:t>Table 6: Survival model fit summary (Gaussian distribution)</w:t>
            </w:r>
          </w:p>
          <w:bookmarkEnd w:id="30"/>
          <w:p w14:paraId="0DEDFDAD" w14:textId="77777777" w:rsidR="00192E91" w:rsidRPr="00AE18F8" w:rsidRDefault="00192E91"/>
        </w:tc>
      </w:tr>
    </w:tbl>
    <w:p w14:paraId="0DEDFDAF" w14:textId="77777777" w:rsidR="00192E91" w:rsidRPr="00AE18F8" w:rsidRDefault="001147A4">
      <w:r w:rsidRPr="00AE18F8">
        <w:br w:type="page"/>
      </w:r>
    </w:p>
    <w:p w14:paraId="0DEDFDB0" w14:textId="77777777" w:rsidR="00192E91" w:rsidRPr="00AE18F8" w:rsidRDefault="001147A4">
      <w:pPr>
        <w:pStyle w:val="Heading4"/>
        <w:rPr>
          <w:color w:val="auto"/>
        </w:rPr>
      </w:pPr>
      <w:bookmarkStart w:id="31" w:name="gamma"/>
      <w:bookmarkEnd w:id="28"/>
      <w:r w:rsidRPr="00AE18F8">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AE18F8" w:rsidRPr="00AE18F8" w14:paraId="0DEDFDB3"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B1" w14:textId="77777777" w:rsidR="00192E91" w:rsidRPr="00AE18F8" w:rsidRDefault="001147A4">
            <w:pPr>
              <w:pStyle w:val="Compact"/>
              <w:jc w:val="center"/>
            </w:pPr>
            <w:bookmarkStart w:id="32" w:name="fig-km-gamma-ch1"/>
            <w:r w:rsidRPr="00AE18F8">
              <w:rPr>
                <w:noProof/>
              </w:rPr>
              <w:drawing>
                <wp:inline distT="0" distB="0" distL="0" distR="0" wp14:anchorId="0DEDFF51" wp14:editId="0DEDFF52">
                  <wp:extent cx="5943600" cy="3657600"/>
                  <wp:effectExtent l="0" t="0" r="0" b="0"/>
                  <wp:docPr id="74" name="Picture" title="A Kaplan-Meier plot showing overall survival over time for individuals who have received venetoclax with obinutuzumab, with an overlaid gamma model fit."/>
                  <wp:cNvGraphicFramePr/>
                  <a:graphic xmlns:a="http://schemas.openxmlformats.org/drawingml/2006/main">
                    <a:graphicData uri="http://schemas.openxmlformats.org/drawingml/2006/picture">
                      <pic:pic xmlns:pic="http://schemas.openxmlformats.org/drawingml/2006/picture">
                        <pic:nvPicPr>
                          <pic:cNvPr id="75" name="Picture" descr="ID6232_veno_veni_cll_monthly._ss_files/figure-docx/fig-km-gamma-ch1-1.png"/>
                          <pic:cNvPicPr>
                            <a:picLocks noChangeAspect="1" noChangeArrowheads="1"/>
                          </pic:cNvPicPr>
                        </pic:nvPicPr>
                        <pic:blipFill>
                          <a:blip r:embed="rId15"/>
                          <a:stretch>
                            <a:fillRect/>
                          </a:stretch>
                        </pic:blipFill>
                        <pic:spPr bwMode="auto">
                          <a:xfrm>
                            <a:off x="0" y="0"/>
                            <a:ext cx="5943600" cy="3657600"/>
                          </a:xfrm>
                          <a:prstGeom prst="rect">
                            <a:avLst/>
                          </a:prstGeom>
                          <a:noFill/>
                          <a:ln w="9525">
                            <a:noFill/>
                            <a:headEnd/>
                            <a:tailEnd/>
                          </a:ln>
                        </pic:spPr>
                      </pic:pic>
                    </a:graphicData>
                  </a:graphic>
                </wp:inline>
              </w:drawing>
            </w:r>
          </w:p>
          <w:p w14:paraId="0DEDFDB2" w14:textId="6BF46889" w:rsidR="00192E91" w:rsidRPr="00AE18F8" w:rsidRDefault="001147A4">
            <w:pPr>
              <w:pStyle w:val="ImageCaption"/>
              <w:spacing w:before="200"/>
            </w:pPr>
            <w:r w:rsidRPr="00AE18F8">
              <w:t>Figure </w:t>
            </w:r>
            <w:r w:rsidR="00B23E74" w:rsidRPr="00AE18F8">
              <w:t>9</w:t>
            </w:r>
            <w:r w:rsidRPr="00AE18F8">
              <w:t>: Overall survival against gamma survival function</w:t>
            </w:r>
          </w:p>
        </w:tc>
        <w:bookmarkEnd w:id="32"/>
      </w:tr>
    </w:tbl>
    <w:p w14:paraId="0DEDFDB4"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286"/>
        <w:gridCol w:w="1185"/>
      </w:tblGrid>
      <w:tr w:rsidR="00AE18F8" w:rsidRPr="00AE18F8" w14:paraId="0DEDFDBA" w14:textId="77777777">
        <w:trPr>
          <w:cantSplit/>
          <w:tblHeader/>
          <w:jc w:val="center"/>
        </w:trPr>
        <w:tc>
          <w:tcPr>
            <w:tcW w:w="0" w:type="auto"/>
            <w:tcBorders>
              <w:top w:val="single" w:sz="16" w:space="0" w:color="D3D3D3"/>
              <w:left w:val="single" w:sz="0" w:space="0" w:color="D3D3D3"/>
              <w:bottom w:val="single" w:sz="16" w:space="0" w:color="D3D3D3"/>
            </w:tcBorders>
          </w:tcPr>
          <w:p w14:paraId="0DEDFDB5"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B6"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B7"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B8" w14:textId="77777777" w:rsidR="00192E91" w:rsidRPr="00AE18F8" w:rsidRDefault="001147A4">
            <w:pPr>
              <w:keepNext/>
              <w:spacing w:after="60"/>
              <w:jc w:val="right"/>
            </w:pPr>
            <w:r w:rsidRPr="00AE18F8">
              <w:rPr>
                <w:rFonts w:ascii="Calibri" w:hAnsi="Calibri"/>
                <w:sz w:val="20"/>
              </w:rPr>
              <w:t>L95.</w:t>
            </w:r>
          </w:p>
        </w:tc>
        <w:tc>
          <w:tcPr>
            <w:tcW w:w="0" w:type="auto"/>
            <w:tcBorders>
              <w:top w:val="single" w:sz="16" w:space="0" w:color="D3D3D3"/>
              <w:bottom w:val="single" w:sz="16" w:space="0" w:color="D3D3D3"/>
              <w:right w:val="single" w:sz="0" w:space="0" w:color="D3D3D3"/>
            </w:tcBorders>
          </w:tcPr>
          <w:p w14:paraId="0DEDFDB9" w14:textId="77777777" w:rsidR="00192E91" w:rsidRPr="00AE18F8" w:rsidRDefault="001147A4">
            <w:pPr>
              <w:keepNext/>
              <w:spacing w:after="60"/>
              <w:jc w:val="right"/>
            </w:pPr>
            <w:r w:rsidRPr="00AE18F8">
              <w:rPr>
                <w:rFonts w:ascii="Calibri" w:hAnsi="Calibri"/>
                <w:sz w:val="20"/>
              </w:rPr>
              <w:t>U95.</w:t>
            </w:r>
          </w:p>
        </w:tc>
      </w:tr>
      <w:tr w:rsidR="00AE18F8" w:rsidRPr="00AE18F8" w14:paraId="0DEDFDC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BB" w14:textId="77777777" w:rsidR="00192E91" w:rsidRPr="00AE18F8" w:rsidRDefault="001147A4">
            <w:pPr>
              <w:keepNext/>
              <w:spacing w:after="60"/>
            </w:pPr>
            <w:r w:rsidRPr="00AE18F8">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0DEDFDBC" w14:textId="77777777" w:rsidR="00192E91" w:rsidRPr="00AE18F8" w:rsidRDefault="001147A4">
            <w:pPr>
              <w:keepNext/>
              <w:spacing w:after="60"/>
              <w:jc w:val="right"/>
            </w:pPr>
            <w:r w:rsidRPr="00AE18F8">
              <w:rPr>
                <w:rFonts w:ascii="Calibri" w:hAnsi="Calibri"/>
                <w:sz w:val="20"/>
              </w:rPr>
              <w:t>0.860</w:t>
            </w:r>
          </w:p>
        </w:tc>
        <w:tc>
          <w:tcPr>
            <w:tcW w:w="0" w:type="auto"/>
            <w:tcBorders>
              <w:top w:val="single" w:sz="0" w:space="0" w:color="D3D3D3"/>
              <w:left w:val="single" w:sz="0" w:space="0" w:color="D3D3D3"/>
              <w:bottom w:val="single" w:sz="0" w:space="0" w:color="D3D3D3"/>
              <w:right w:val="single" w:sz="0" w:space="0" w:color="D3D3D3"/>
            </w:tcBorders>
          </w:tcPr>
          <w:p w14:paraId="0DEDFDBD" w14:textId="77777777" w:rsidR="00192E91" w:rsidRPr="00AE18F8" w:rsidRDefault="001147A4">
            <w:pPr>
              <w:keepNext/>
              <w:spacing w:after="60"/>
              <w:jc w:val="right"/>
            </w:pPr>
            <w:r w:rsidRPr="00AE18F8">
              <w:rPr>
                <w:rFonts w:ascii="Calibri" w:hAnsi="Calibri"/>
                <w:sz w:val="20"/>
              </w:rPr>
              <w:t>0.099</w:t>
            </w:r>
          </w:p>
        </w:tc>
        <w:tc>
          <w:tcPr>
            <w:tcW w:w="0" w:type="auto"/>
            <w:tcBorders>
              <w:top w:val="single" w:sz="0" w:space="0" w:color="D3D3D3"/>
              <w:left w:val="single" w:sz="0" w:space="0" w:color="D3D3D3"/>
              <w:bottom w:val="single" w:sz="0" w:space="0" w:color="D3D3D3"/>
              <w:right w:val="single" w:sz="0" w:space="0" w:color="D3D3D3"/>
            </w:tcBorders>
          </w:tcPr>
          <w:p w14:paraId="0DEDFDBE" w14:textId="77777777" w:rsidR="00192E91" w:rsidRPr="00AE18F8" w:rsidRDefault="001147A4">
            <w:pPr>
              <w:keepNext/>
              <w:spacing w:after="60"/>
              <w:jc w:val="right"/>
            </w:pPr>
            <w:r w:rsidRPr="00AE18F8">
              <w:rPr>
                <w:rFonts w:ascii="Calibri" w:hAnsi="Calibri"/>
                <w:sz w:val="20"/>
              </w:rPr>
              <w:t>0.6867709275</w:t>
            </w:r>
          </w:p>
        </w:tc>
        <w:tc>
          <w:tcPr>
            <w:tcW w:w="0" w:type="auto"/>
            <w:tcBorders>
              <w:top w:val="single" w:sz="0" w:space="0" w:color="D3D3D3"/>
              <w:left w:val="single" w:sz="0" w:space="0" w:color="D3D3D3"/>
              <w:bottom w:val="single" w:sz="0" w:space="0" w:color="D3D3D3"/>
              <w:right w:val="single" w:sz="0" w:space="0" w:color="D3D3D3"/>
            </w:tcBorders>
          </w:tcPr>
          <w:p w14:paraId="0DEDFDBF" w14:textId="77777777" w:rsidR="00192E91" w:rsidRPr="00AE18F8" w:rsidRDefault="001147A4">
            <w:pPr>
              <w:keepNext/>
              <w:spacing w:after="60"/>
              <w:jc w:val="right"/>
            </w:pPr>
            <w:r w:rsidRPr="00AE18F8">
              <w:rPr>
                <w:rFonts w:ascii="Calibri" w:hAnsi="Calibri"/>
                <w:sz w:val="20"/>
              </w:rPr>
              <w:t>1.076346334</w:t>
            </w:r>
          </w:p>
        </w:tc>
      </w:tr>
      <w:tr w:rsidR="00AE18F8" w:rsidRPr="00AE18F8" w14:paraId="0DEDFDC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C1" w14:textId="77777777" w:rsidR="00192E91" w:rsidRPr="00AE18F8" w:rsidRDefault="001147A4">
            <w:pPr>
              <w:keepNext/>
              <w:spacing w:after="60"/>
            </w:pPr>
            <w:r w:rsidRPr="00AE18F8">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0DEDFDC2" w14:textId="77777777" w:rsidR="00192E91" w:rsidRPr="00AE18F8" w:rsidRDefault="001147A4">
            <w:pPr>
              <w:keepNext/>
              <w:spacing w:after="60"/>
              <w:jc w:val="right"/>
            </w:pPr>
            <w:r w:rsidRPr="00AE18F8">
              <w:rPr>
                <w:rFonts w:ascii="Calibri" w:hAnsi="Calibri"/>
                <w:sz w:val="20"/>
              </w:rPr>
              <w:t>0.001</w:t>
            </w:r>
          </w:p>
        </w:tc>
        <w:tc>
          <w:tcPr>
            <w:tcW w:w="0" w:type="auto"/>
            <w:tcBorders>
              <w:top w:val="single" w:sz="0" w:space="0" w:color="D3D3D3"/>
              <w:left w:val="single" w:sz="0" w:space="0" w:color="D3D3D3"/>
              <w:bottom w:val="single" w:sz="0" w:space="0" w:color="D3D3D3"/>
              <w:right w:val="single" w:sz="0" w:space="0" w:color="D3D3D3"/>
            </w:tcBorders>
          </w:tcPr>
          <w:p w14:paraId="0DEDFDC3" w14:textId="77777777" w:rsidR="00192E91" w:rsidRPr="00AE18F8" w:rsidRDefault="001147A4">
            <w:pPr>
              <w:keepNext/>
              <w:spacing w:after="60"/>
              <w:jc w:val="right"/>
            </w:pPr>
            <w:r w:rsidRPr="00AE18F8">
              <w:rPr>
                <w:rFonts w:ascii="Calibri" w:hAnsi="Calibri"/>
                <w:sz w:val="20"/>
              </w:rPr>
              <w:t>0.001</w:t>
            </w:r>
          </w:p>
        </w:tc>
        <w:tc>
          <w:tcPr>
            <w:tcW w:w="0" w:type="auto"/>
            <w:tcBorders>
              <w:top w:val="single" w:sz="0" w:space="0" w:color="D3D3D3"/>
              <w:left w:val="single" w:sz="0" w:space="0" w:color="D3D3D3"/>
              <w:bottom w:val="single" w:sz="0" w:space="0" w:color="D3D3D3"/>
              <w:right w:val="single" w:sz="0" w:space="0" w:color="D3D3D3"/>
            </w:tcBorders>
          </w:tcPr>
          <w:p w14:paraId="0DEDFDC4" w14:textId="77777777" w:rsidR="00192E91" w:rsidRPr="00AE18F8" w:rsidRDefault="001147A4">
            <w:pPr>
              <w:keepNext/>
              <w:spacing w:after="60"/>
              <w:jc w:val="right"/>
            </w:pPr>
            <w:r w:rsidRPr="00AE18F8">
              <w:rPr>
                <w:rFonts w:ascii="Calibri" w:hAnsi="Calibri"/>
                <w:sz w:val="20"/>
              </w:rPr>
              <w:t>0.0006380542</w:t>
            </w:r>
          </w:p>
        </w:tc>
        <w:tc>
          <w:tcPr>
            <w:tcW w:w="0" w:type="auto"/>
            <w:tcBorders>
              <w:top w:val="single" w:sz="0" w:space="0" w:color="D3D3D3"/>
              <w:left w:val="single" w:sz="0" w:space="0" w:color="D3D3D3"/>
              <w:bottom w:val="single" w:sz="0" w:space="0" w:color="D3D3D3"/>
              <w:right w:val="single" w:sz="0" w:space="0" w:color="D3D3D3"/>
            </w:tcBorders>
          </w:tcPr>
          <w:p w14:paraId="0DEDFDC5" w14:textId="77777777" w:rsidR="00192E91" w:rsidRPr="00AE18F8" w:rsidRDefault="001147A4">
            <w:pPr>
              <w:keepNext/>
              <w:spacing w:after="60"/>
              <w:jc w:val="right"/>
            </w:pPr>
            <w:r w:rsidRPr="00AE18F8">
              <w:rPr>
                <w:rFonts w:ascii="Calibri" w:hAnsi="Calibri"/>
                <w:sz w:val="20"/>
              </w:rPr>
              <w:t>0.003289426</w:t>
            </w:r>
          </w:p>
        </w:tc>
      </w:tr>
      <w:tr w:rsidR="00AE18F8" w:rsidRPr="00AE18F8" w14:paraId="0DEDFDC8" w14:textId="77777777">
        <w:trPr>
          <w:cantSplit/>
          <w:jc w:val="center"/>
        </w:trPr>
        <w:tc>
          <w:tcPr>
            <w:tcW w:w="0" w:type="auto"/>
            <w:gridSpan w:val="5"/>
          </w:tcPr>
          <w:p w14:paraId="0DEDFDC7" w14:textId="77777777" w:rsidR="00192E91" w:rsidRPr="00AE18F8" w:rsidRDefault="001147A4">
            <w:pPr>
              <w:keepNext/>
              <w:spacing w:after="60"/>
            </w:pPr>
            <w:r w:rsidRPr="00AE18F8">
              <w:rPr>
                <w:rFonts w:ascii="Calibri" w:hAnsi="Calibri"/>
                <w:sz w:val="20"/>
              </w:rPr>
              <w:t>log-likelihood = -520.25863647634</w:t>
            </w:r>
          </w:p>
        </w:tc>
      </w:tr>
      <w:tr w:rsidR="00AE18F8" w:rsidRPr="00AE18F8" w14:paraId="0DEDFDCA" w14:textId="77777777">
        <w:trPr>
          <w:cantSplit/>
          <w:jc w:val="center"/>
        </w:trPr>
        <w:tc>
          <w:tcPr>
            <w:tcW w:w="0" w:type="auto"/>
            <w:gridSpan w:val="5"/>
          </w:tcPr>
          <w:p w14:paraId="0DEDFDC9" w14:textId="77777777" w:rsidR="00192E91" w:rsidRPr="00AE18F8" w:rsidRDefault="001147A4">
            <w:pPr>
              <w:keepNext/>
              <w:spacing w:after="60"/>
            </w:pPr>
            <w:r w:rsidRPr="00AE18F8">
              <w:rPr>
                <w:rFonts w:ascii="Calibri" w:hAnsi="Calibri"/>
                <w:sz w:val="20"/>
              </w:rPr>
              <w:t>AIC = 1044.51727295268</w:t>
            </w:r>
          </w:p>
        </w:tc>
      </w:tr>
      <w:tr w:rsidR="00AE18F8" w:rsidRPr="00AE18F8" w14:paraId="0DEDFDCC" w14:textId="77777777">
        <w:trPr>
          <w:cantSplit/>
          <w:jc w:val="center"/>
        </w:trPr>
        <w:tc>
          <w:tcPr>
            <w:tcW w:w="0" w:type="auto"/>
            <w:gridSpan w:val="5"/>
          </w:tcPr>
          <w:p w14:paraId="0DEDFDCB" w14:textId="77777777" w:rsidR="00192E91" w:rsidRPr="00AE18F8" w:rsidRDefault="001147A4">
            <w:pPr>
              <w:keepNext/>
              <w:spacing w:after="60"/>
            </w:pPr>
            <w:r w:rsidRPr="00AE18F8">
              <w:rPr>
                <w:rFonts w:ascii="Calibri" w:hAnsi="Calibri"/>
                <w:sz w:val="20"/>
              </w:rPr>
              <w:t>BIC = 1054.38216873583</w:t>
            </w:r>
          </w:p>
        </w:tc>
      </w:tr>
    </w:tbl>
    <w:tbl>
      <w:tblPr>
        <w:tblStyle w:val="Table"/>
        <w:tblW w:w="5000" w:type="pct"/>
        <w:tblLayout w:type="fixed"/>
        <w:tblLook w:val="0000" w:firstRow="0" w:lastRow="0" w:firstColumn="0" w:lastColumn="0" w:noHBand="0" w:noVBand="0"/>
      </w:tblPr>
      <w:tblGrid>
        <w:gridCol w:w="9360"/>
      </w:tblGrid>
      <w:tr w:rsidR="00AE18F8" w:rsidRPr="00AE18F8" w14:paraId="0DEDFDD1" w14:textId="77777777">
        <w:tc>
          <w:tcPr>
            <w:tcW w:w="7920" w:type="dxa"/>
          </w:tcPr>
          <w:p w14:paraId="0DEDFDCD" w14:textId="77777777" w:rsidR="00192E91" w:rsidRPr="00AE18F8" w:rsidRDefault="001147A4">
            <w:pPr>
              <w:pStyle w:val="ImageCaption"/>
              <w:spacing w:before="200"/>
            </w:pPr>
            <w:bookmarkStart w:id="33" w:name="tbl-km-gamma-ch1"/>
            <w:r w:rsidRPr="00AE18F8">
              <w:t>Table 7: Survival model fit summary (gamma distribution)</w:t>
            </w:r>
          </w:p>
          <w:bookmarkEnd w:id="33"/>
          <w:p w14:paraId="0DEDFDD0" w14:textId="77777777" w:rsidR="00192E91" w:rsidRPr="00AE18F8" w:rsidRDefault="00192E91"/>
        </w:tc>
      </w:tr>
    </w:tbl>
    <w:p w14:paraId="0DEDFDD2" w14:textId="77777777" w:rsidR="00192E91" w:rsidRPr="00AE18F8" w:rsidRDefault="001147A4">
      <w:r w:rsidRPr="00AE18F8">
        <w:br w:type="page"/>
      </w:r>
    </w:p>
    <w:p w14:paraId="0DEDFDD3" w14:textId="77777777" w:rsidR="00192E91" w:rsidRPr="00AE18F8" w:rsidRDefault="001147A4">
      <w:pPr>
        <w:pStyle w:val="Heading4"/>
        <w:rPr>
          <w:color w:val="auto"/>
        </w:rPr>
      </w:pPr>
      <w:bookmarkStart w:id="34" w:name="generalised-gamma"/>
      <w:bookmarkEnd w:id="31"/>
      <w:r w:rsidRPr="00AE18F8">
        <w:rPr>
          <w:color w:val="auto"/>
        </w:rPr>
        <w:lastRenderedPageBreak/>
        <w:t>Generalised gamma</w:t>
      </w:r>
    </w:p>
    <w:tbl>
      <w:tblPr>
        <w:tblStyle w:val="Table"/>
        <w:tblW w:w="5000" w:type="pct"/>
        <w:tblLayout w:type="fixed"/>
        <w:tblLook w:val="0020" w:firstRow="1" w:lastRow="0" w:firstColumn="0" w:lastColumn="0" w:noHBand="0" w:noVBand="0"/>
      </w:tblPr>
      <w:tblGrid>
        <w:gridCol w:w="9360"/>
      </w:tblGrid>
      <w:tr w:rsidR="00AE18F8" w:rsidRPr="00AE18F8" w14:paraId="0DEDFDD6" w14:textId="77777777" w:rsidTr="00AE18F8">
        <w:trPr>
          <w:cnfStyle w:val="100000000000" w:firstRow="1" w:lastRow="0" w:firstColumn="0" w:lastColumn="0" w:oddVBand="0" w:evenVBand="0" w:oddHBand="0" w:evenHBand="0" w:firstRowFirstColumn="0" w:firstRowLastColumn="0" w:lastRowFirstColumn="0" w:lastRowLastColumn="0"/>
        </w:trPr>
        <w:tc>
          <w:tcPr>
            <w:tcW w:w="7920" w:type="dxa"/>
          </w:tcPr>
          <w:p w14:paraId="0DEDFDD4" w14:textId="77777777" w:rsidR="00192E91" w:rsidRPr="00AE18F8" w:rsidRDefault="001147A4">
            <w:pPr>
              <w:pStyle w:val="Compact"/>
              <w:jc w:val="center"/>
            </w:pPr>
            <w:bookmarkStart w:id="35" w:name="fig-km-gengamma-ch1"/>
            <w:r w:rsidRPr="00AE18F8">
              <w:rPr>
                <w:noProof/>
              </w:rPr>
              <w:drawing>
                <wp:inline distT="0" distB="0" distL="0" distR="0" wp14:anchorId="0DEDFF53" wp14:editId="0DEDFF54">
                  <wp:extent cx="5943600" cy="3657600"/>
                  <wp:effectExtent l="0" t="0" r="0" b="0"/>
                  <wp:docPr id="80" name="Picture" title="A Kaplan-Meier plot showing overall survival over time for individuals who have received venetoclax with obinutuzumab, with an overlaid generalised gamma model fit."/>
                  <wp:cNvGraphicFramePr/>
                  <a:graphic xmlns:a="http://schemas.openxmlformats.org/drawingml/2006/main">
                    <a:graphicData uri="http://schemas.openxmlformats.org/drawingml/2006/picture">
                      <pic:pic xmlns:pic="http://schemas.openxmlformats.org/drawingml/2006/picture">
                        <pic:nvPicPr>
                          <pic:cNvPr id="81" name="Picture" descr="ID6232_veno_veni_cll_monthly._ss_files/figure-docx/fig-km-gengamma-ch1-1.png"/>
                          <pic:cNvPicPr>
                            <a:picLocks noChangeAspect="1" noChangeArrowheads="1"/>
                          </pic:cNvPicPr>
                        </pic:nvPicPr>
                        <pic:blipFill>
                          <a:blip r:embed="rId16"/>
                          <a:stretch>
                            <a:fillRect/>
                          </a:stretch>
                        </pic:blipFill>
                        <pic:spPr bwMode="auto">
                          <a:xfrm>
                            <a:off x="0" y="0"/>
                            <a:ext cx="5943600" cy="3657600"/>
                          </a:xfrm>
                          <a:prstGeom prst="rect">
                            <a:avLst/>
                          </a:prstGeom>
                          <a:noFill/>
                          <a:ln w="9525">
                            <a:noFill/>
                            <a:headEnd/>
                            <a:tailEnd/>
                          </a:ln>
                        </pic:spPr>
                      </pic:pic>
                    </a:graphicData>
                  </a:graphic>
                </wp:inline>
              </w:drawing>
            </w:r>
          </w:p>
          <w:p w14:paraId="0DEDFDD5" w14:textId="56481738" w:rsidR="00192E91" w:rsidRPr="00AE18F8" w:rsidRDefault="001147A4">
            <w:pPr>
              <w:pStyle w:val="ImageCaption"/>
              <w:spacing w:before="200"/>
            </w:pPr>
            <w:r w:rsidRPr="00AE18F8">
              <w:t>Figure </w:t>
            </w:r>
            <w:r w:rsidR="00B23E74" w:rsidRPr="00AE18F8">
              <w:t>10</w:t>
            </w:r>
            <w:r w:rsidRPr="00AE18F8">
              <w:t>: Overall survival against generalised gamma survival function</w:t>
            </w:r>
          </w:p>
        </w:tc>
        <w:bookmarkEnd w:id="35"/>
      </w:tr>
    </w:tbl>
    <w:p w14:paraId="0DEDFDD7"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043"/>
        <w:gridCol w:w="881"/>
      </w:tblGrid>
      <w:tr w:rsidR="00AE18F8" w:rsidRPr="00AE18F8" w14:paraId="0DEDFDDD" w14:textId="77777777">
        <w:trPr>
          <w:cantSplit/>
          <w:tblHeader/>
          <w:jc w:val="center"/>
        </w:trPr>
        <w:tc>
          <w:tcPr>
            <w:tcW w:w="0" w:type="auto"/>
            <w:tcBorders>
              <w:top w:val="single" w:sz="16" w:space="0" w:color="D3D3D3"/>
              <w:left w:val="single" w:sz="0" w:space="0" w:color="D3D3D3"/>
              <w:bottom w:val="single" w:sz="16" w:space="0" w:color="D3D3D3"/>
            </w:tcBorders>
          </w:tcPr>
          <w:p w14:paraId="0DEDFDD8"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DD9"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DDA"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DDB" w14:textId="77777777" w:rsidR="00192E91" w:rsidRPr="00AE18F8" w:rsidRDefault="001147A4">
            <w:pPr>
              <w:keepNext/>
              <w:spacing w:after="60"/>
              <w:jc w:val="right"/>
            </w:pPr>
            <w:r w:rsidRPr="00AE18F8">
              <w:rPr>
                <w:rFonts w:ascii="Calibri" w:hAnsi="Calibri"/>
                <w:sz w:val="20"/>
              </w:rPr>
              <w:t>L95.</w:t>
            </w:r>
          </w:p>
        </w:tc>
        <w:tc>
          <w:tcPr>
            <w:tcW w:w="0" w:type="auto"/>
            <w:tcBorders>
              <w:top w:val="single" w:sz="16" w:space="0" w:color="D3D3D3"/>
              <w:bottom w:val="single" w:sz="16" w:space="0" w:color="D3D3D3"/>
              <w:right w:val="single" w:sz="0" w:space="0" w:color="D3D3D3"/>
            </w:tcBorders>
          </w:tcPr>
          <w:p w14:paraId="0DEDFDDC" w14:textId="77777777" w:rsidR="00192E91" w:rsidRPr="00AE18F8" w:rsidRDefault="001147A4">
            <w:pPr>
              <w:keepNext/>
              <w:spacing w:after="60"/>
              <w:jc w:val="right"/>
            </w:pPr>
            <w:r w:rsidRPr="00AE18F8">
              <w:rPr>
                <w:rFonts w:ascii="Calibri" w:hAnsi="Calibri"/>
                <w:sz w:val="20"/>
              </w:rPr>
              <w:t>U95.</w:t>
            </w:r>
          </w:p>
        </w:tc>
      </w:tr>
      <w:tr w:rsidR="00AE18F8" w:rsidRPr="00AE18F8" w14:paraId="0DEDFDE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DE" w14:textId="77777777" w:rsidR="00192E91" w:rsidRPr="00AE18F8" w:rsidRDefault="001147A4">
            <w:pPr>
              <w:keepNext/>
              <w:spacing w:after="60"/>
            </w:pPr>
            <w:r w:rsidRPr="00AE18F8">
              <w:rPr>
                <w:rFonts w:ascii="Calibri" w:hAnsi="Calibri"/>
                <w:sz w:val="20"/>
              </w:rPr>
              <w:t>mu</w:t>
            </w:r>
          </w:p>
        </w:tc>
        <w:tc>
          <w:tcPr>
            <w:tcW w:w="0" w:type="auto"/>
            <w:tcBorders>
              <w:top w:val="single" w:sz="0" w:space="0" w:color="D3D3D3"/>
              <w:left w:val="single" w:sz="0" w:space="0" w:color="D3D3D3"/>
              <w:bottom w:val="single" w:sz="0" w:space="0" w:color="D3D3D3"/>
              <w:right w:val="single" w:sz="0" w:space="0" w:color="D3D3D3"/>
            </w:tcBorders>
          </w:tcPr>
          <w:p w14:paraId="0DEDFDDF" w14:textId="77777777" w:rsidR="00192E91" w:rsidRPr="00AE18F8" w:rsidRDefault="001147A4">
            <w:pPr>
              <w:keepNext/>
              <w:spacing w:after="60"/>
              <w:jc w:val="right"/>
            </w:pPr>
            <w:r w:rsidRPr="00AE18F8">
              <w:rPr>
                <w:rFonts w:ascii="Calibri" w:hAnsi="Calibri"/>
                <w:sz w:val="20"/>
              </w:rPr>
              <w:t>7.060</w:t>
            </w:r>
          </w:p>
        </w:tc>
        <w:tc>
          <w:tcPr>
            <w:tcW w:w="0" w:type="auto"/>
            <w:tcBorders>
              <w:top w:val="single" w:sz="0" w:space="0" w:color="D3D3D3"/>
              <w:left w:val="single" w:sz="0" w:space="0" w:color="D3D3D3"/>
              <w:bottom w:val="single" w:sz="0" w:space="0" w:color="D3D3D3"/>
              <w:right w:val="single" w:sz="0" w:space="0" w:color="D3D3D3"/>
            </w:tcBorders>
          </w:tcPr>
          <w:p w14:paraId="0DEDFDE0" w14:textId="77777777" w:rsidR="00192E91" w:rsidRPr="00AE18F8" w:rsidRDefault="001147A4">
            <w:pPr>
              <w:keepNext/>
              <w:spacing w:after="60"/>
              <w:jc w:val="right"/>
            </w:pPr>
            <w:r w:rsidRPr="00AE18F8">
              <w:rPr>
                <w:rFonts w:ascii="Calibri" w:hAnsi="Calibri"/>
                <w:sz w:val="20"/>
              </w:rPr>
              <w:t>0.630</w:t>
            </w:r>
          </w:p>
        </w:tc>
        <w:tc>
          <w:tcPr>
            <w:tcW w:w="0" w:type="auto"/>
            <w:tcBorders>
              <w:top w:val="single" w:sz="0" w:space="0" w:color="D3D3D3"/>
              <w:left w:val="single" w:sz="0" w:space="0" w:color="D3D3D3"/>
              <w:bottom w:val="single" w:sz="0" w:space="0" w:color="D3D3D3"/>
              <w:right w:val="single" w:sz="0" w:space="0" w:color="D3D3D3"/>
            </w:tcBorders>
          </w:tcPr>
          <w:p w14:paraId="0DEDFDE1" w14:textId="77777777" w:rsidR="00192E91" w:rsidRPr="00AE18F8" w:rsidRDefault="001147A4">
            <w:pPr>
              <w:keepNext/>
              <w:spacing w:after="60"/>
              <w:jc w:val="right"/>
            </w:pPr>
            <w:r w:rsidRPr="00AE18F8">
              <w:rPr>
                <w:rFonts w:ascii="Calibri" w:hAnsi="Calibri"/>
                <w:sz w:val="20"/>
              </w:rPr>
              <w:t>5.8245026</w:t>
            </w:r>
          </w:p>
        </w:tc>
        <w:tc>
          <w:tcPr>
            <w:tcW w:w="0" w:type="auto"/>
            <w:tcBorders>
              <w:top w:val="single" w:sz="0" w:space="0" w:color="D3D3D3"/>
              <w:left w:val="single" w:sz="0" w:space="0" w:color="D3D3D3"/>
              <w:bottom w:val="single" w:sz="0" w:space="0" w:color="D3D3D3"/>
              <w:right w:val="single" w:sz="0" w:space="0" w:color="D3D3D3"/>
            </w:tcBorders>
          </w:tcPr>
          <w:p w14:paraId="0DEDFDE2" w14:textId="77777777" w:rsidR="00192E91" w:rsidRPr="00AE18F8" w:rsidRDefault="001147A4">
            <w:pPr>
              <w:keepNext/>
              <w:spacing w:after="60"/>
              <w:jc w:val="right"/>
            </w:pPr>
            <w:r w:rsidRPr="00AE18F8">
              <w:rPr>
                <w:rFonts w:ascii="Calibri" w:hAnsi="Calibri"/>
                <w:sz w:val="20"/>
              </w:rPr>
              <w:t>8.295842</w:t>
            </w:r>
          </w:p>
        </w:tc>
      </w:tr>
      <w:tr w:rsidR="00AE18F8" w:rsidRPr="00AE18F8" w14:paraId="0DEDFDE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E4" w14:textId="77777777" w:rsidR="00192E91" w:rsidRPr="00AE18F8" w:rsidRDefault="001147A4">
            <w:pPr>
              <w:keepNext/>
              <w:spacing w:after="60"/>
            </w:pPr>
            <w:r w:rsidRPr="00AE18F8">
              <w:rPr>
                <w:rFonts w:ascii="Calibri" w:hAnsi="Calibri"/>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0DEDFDE5" w14:textId="77777777" w:rsidR="00192E91" w:rsidRPr="00AE18F8" w:rsidRDefault="001147A4">
            <w:pPr>
              <w:keepNext/>
              <w:spacing w:after="60"/>
              <w:jc w:val="right"/>
            </w:pPr>
            <w:r w:rsidRPr="00AE18F8">
              <w:rPr>
                <w:rFonts w:ascii="Calibri" w:hAnsi="Calibri"/>
                <w:sz w:val="20"/>
              </w:rPr>
              <w:t>2.242</w:t>
            </w:r>
          </w:p>
        </w:tc>
        <w:tc>
          <w:tcPr>
            <w:tcW w:w="0" w:type="auto"/>
            <w:tcBorders>
              <w:top w:val="single" w:sz="0" w:space="0" w:color="D3D3D3"/>
              <w:left w:val="single" w:sz="0" w:space="0" w:color="D3D3D3"/>
              <w:bottom w:val="single" w:sz="0" w:space="0" w:color="D3D3D3"/>
              <w:right w:val="single" w:sz="0" w:space="0" w:color="D3D3D3"/>
            </w:tcBorders>
          </w:tcPr>
          <w:p w14:paraId="0DEDFDE6" w14:textId="77777777" w:rsidR="00192E91" w:rsidRPr="00AE18F8" w:rsidRDefault="001147A4">
            <w:pPr>
              <w:keepNext/>
              <w:spacing w:after="60"/>
              <w:jc w:val="right"/>
            </w:pPr>
            <w:r w:rsidRPr="00AE18F8">
              <w:rPr>
                <w:rFonts w:ascii="Calibri" w:hAnsi="Calibri"/>
                <w:sz w:val="20"/>
              </w:rPr>
              <w:t>1.038</w:t>
            </w:r>
          </w:p>
        </w:tc>
        <w:tc>
          <w:tcPr>
            <w:tcW w:w="0" w:type="auto"/>
            <w:tcBorders>
              <w:top w:val="single" w:sz="0" w:space="0" w:color="D3D3D3"/>
              <w:left w:val="single" w:sz="0" w:space="0" w:color="D3D3D3"/>
              <w:bottom w:val="single" w:sz="0" w:space="0" w:color="D3D3D3"/>
              <w:right w:val="single" w:sz="0" w:space="0" w:color="D3D3D3"/>
            </w:tcBorders>
          </w:tcPr>
          <w:p w14:paraId="0DEDFDE7" w14:textId="77777777" w:rsidR="00192E91" w:rsidRPr="00AE18F8" w:rsidRDefault="001147A4">
            <w:pPr>
              <w:keepNext/>
              <w:spacing w:after="60"/>
              <w:jc w:val="right"/>
            </w:pPr>
            <w:r w:rsidRPr="00AE18F8">
              <w:rPr>
                <w:rFonts w:ascii="Calibri" w:hAnsi="Calibri"/>
                <w:sz w:val="20"/>
              </w:rPr>
              <w:t>0.9046842</w:t>
            </w:r>
          </w:p>
        </w:tc>
        <w:tc>
          <w:tcPr>
            <w:tcW w:w="0" w:type="auto"/>
            <w:tcBorders>
              <w:top w:val="single" w:sz="0" w:space="0" w:color="D3D3D3"/>
              <w:left w:val="single" w:sz="0" w:space="0" w:color="D3D3D3"/>
              <w:bottom w:val="single" w:sz="0" w:space="0" w:color="D3D3D3"/>
              <w:right w:val="single" w:sz="0" w:space="0" w:color="D3D3D3"/>
            </w:tcBorders>
          </w:tcPr>
          <w:p w14:paraId="0DEDFDE8" w14:textId="77777777" w:rsidR="00192E91" w:rsidRPr="00AE18F8" w:rsidRDefault="001147A4">
            <w:pPr>
              <w:keepNext/>
              <w:spacing w:after="60"/>
              <w:jc w:val="right"/>
            </w:pPr>
            <w:r w:rsidRPr="00AE18F8">
              <w:rPr>
                <w:rFonts w:ascii="Calibri" w:hAnsi="Calibri"/>
                <w:sz w:val="20"/>
              </w:rPr>
              <w:t>5.553819</w:t>
            </w:r>
          </w:p>
        </w:tc>
      </w:tr>
      <w:tr w:rsidR="00AE18F8" w:rsidRPr="00AE18F8" w14:paraId="0DEDFDE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DEA" w14:textId="77777777" w:rsidR="00192E91" w:rsidRPr="00AE18F8" w:rsidRDefault="001147A4">
            <w:pPr>
              <w:keepNext/>
              <w:spacing w:after="60"/>
            </w:pPr>
            <w:r w:rsidRPr="00AE18F8">
              <w:rPr>
                <w:rFonts w:ascii="Calibri" w:hAnsi="Calibri"/>
                <w:sz w:val="20"/>
              </w:rPr>
              <w:t>Q</w:t>
            </w:r>
          </w:p>
        </w:tc>
        <w:tc>
          <w:tcPr>
            <w:tcW w:w="0" w:type="auto"/>
            <w:tcBorders>
              <w:top w:val="single" w:sz="0" w:space="0" w:color="D3D3D3"/>
              <w:left w:val="single" w:sz="0" w:space="0" w:color="D3D3D3"/>
              <w:bottom w:val="single" w:sz="0" w:space="0" w:color="D3D3D3"/>
              <w:right w:val="single" w:sz="0" w:space="0" w:color="D3D3D3"/>
            </w:tcBorders>
          </w:tcPr>
          <w:p w14:paraId="0DEDFDEB" w14:textId="77777777" w:rsidR="00192E91" w:rsidRPr="00AE18F8" w:rsidRDefault="001147A4">
            <w:pPr>
              <w:keepNext/>
              <w:spacing w:after="60"/>
              <w:jc w:val="right"/>
            </w:pPr>
            <w:r w:rsidRPr="00AE18F8">
              <w:rPr>
                <w:rFonts w:ascii="Calibri" w:hAnsi="Calibri"/>
                <w:sz w:val="20"/>
              </w:rPr>
              <w:t>0.216</w:t>
            </w:r>
          </w:p>
        </w:tc>
        <w:tc>
          <w:tcPr>
            <w:tcW w:w="0" w:type="auto"/>
            <w:tcBorders>
              <w:top w:val="single" w:sz="0" w:space="0" w:color="D3D3D3"/>
              <w:left w:val="single" w:sz="0" w:space="0" w:color="D3D3D3"/>
              <w:bottom w:val="single" w:sz="0" w:space="0" w:color="D3D3D3"/>
              <w:right w:val="single" w:sz="0" w:space="0" w:color="D3D3D3"/>
            </w:tcBorders>
          </w:tcPr>
          <w:p w14:paraId="0DEDFDEC" w14:textId="77777777" w:rsidR="00192E91" w:rsidRPr="00AE18F8" w:rsidRDefault="001147A4">
            <w:pPr>
              <w:keepNext/>
              <w:spacing w:after="60"/>
              <w:jc w:val="right"/>
            </w:pPr>
            <w:r w:rsidRPr="00AE18F8">
              <w:rPr>
                <w:rFonts w:ascii="Calibri" w:hAnsi="Calibri"/>
                <w:sz w:val="20"/>
              </w:rPr>
              <w:t>0.618</w:t>
            </w:r>
          </w:p>
        </w:tc>
        <w:tc>
          <w:tcPr>
            <w:tcW w:w="0" w:type="auto"/>
            <w:tcBorders>
              <w:top w:val="single" w:sz="0" w:space="0" w:color="D3D3D3"/>
              <w:left w:val="single" w:sz="0" w:space="0" w:color="D3D3D3"/>
              <w:bottom w:val="single" w:sz="0" w:space="0" w:color="D3D3D3"/>
              <w:right w:val="single" w:sz="0" w:space="0" w:color="D3D3D3"/>
            </w:tcBorders>
          </w:tcPr>
          <w:p w14:paraId="0DEDFDED" w14:textId="77777777" w:rsidR="00192E91" w:rsidRPr="00AE18F8" w:rsidRDefault="001147A4">
            <w:pPr>
              <w:keepNext/>
              <w:spacing w:after="60"/>
              <w:jc w:val="right"/>
            </w:pPr>
            <w:r w:rsidRPr="00AE18F8">
              <w:rPr>
                <w:rFonts w:ascii="Calibri" w:hAnsi="Calibri"/>
                <w:sz w:val="20"/>
              </w:rPr>
              <w:t>-0.9958792</w:t>
            </w:r>
          </w:p>
        </w:tc>
        <w:tc>
          <w:tcPr>
            <w:tcW w:w="0" w:type="auto"/>
            <w:tcBorders>
              <w:top w:val="single" w:sz="0" w:space="0" w:color="D3D3D3"/>
              <w:left w:val="single" w:sz="0" w:space="0" w:color="D3D3D3"/>
              <w:bottom w:val="single" w:sz="0" w:space="0" w:color="D3D3D3"/>
              <w:right w:val="single" w:sz="0" w:space="0" w:color="D3D3D3"/>
            </w:tcBorders>
          </w:tcPr>
          <w:p w14:paraId="0DEDFDEE" w14:textId="77777777" w:rsidR="00192E91" w:rsidRPr="00AE18F8" w:rsidRDefault="001147A4">
            <w:pPr>
              <w:keepNext/>
              <w:spacing w:after="60"/>
              <w:jc w:val="right"/>
            </w:pPr>
            <w:r w:rsidRPr="00AE18F8">
              <w:rPr>
                <w:rFonts w:ascii="Calibri" w:hAnsi="Calibri"/>
                <w:sz w:val="20"/>
              </w:rPr>
              <w:t>1.426885</w:t>
            </w:r>
          </w:p>
        </w:tc>
      </w:tr>
      <w:tr w:rsidR="00AE18F8" w:rsidRPr="00AE18F8" w14:paraId="0DEDFDF1" w14:textId="77777777">
        <w:trPr>
          <w:cantSplit/>
          <w:jc w:val="center"/>
        </w:trPr>
        <w:tc>
          <w:tcPr>
            <w:tcW w:w="0" w:type="auto"/>
            <w:gridSpan w:val="5"/>
          </w:tcPr>
          <w:p w14:paraId="0DEDFDF0" w14:textId="77777777" w:rsidR="00192E91" w:rsidRPr="00AE18F8" w:rsidRDefault="001147A4">
            <w:pPr>
              <w:keepNext/>
              <w:spacing w:after="60"/>
            </w:pPr>
            <w:r w:rsidRPr="00AE18F8">
              <w:rPr>
                <w:rFonts w:ascii="Calibri" w:hAnsi="Calibri"/>
                <w:sz w:val="20"/>
              </w:rPr>
              <w:t>log-likelihood = -519.598558868815</w:t>
            </w:r>
          </w:p>
        </w:tc>
      </w:tr>
      <w:tr w:rsidR="00AE18F8" w:rsidRPr="00AE18F8" w14:paraId="0DEDFDF3" w14:textId="77777777">
        <w:trPr>
          <w:cantSplit/>
          <w:jc w:val="center"/>
        </w:trPr>
        <w:tc>
          <w:tcPr>
            <w:tcW w:w="0" w:type="auto"/>
            <w:gridSpan w:val="5"/>
          </w:tcPr>
          <w:p w14:paraId="0DEDFDF2" w14:textId="77777777" w:rsidR="00192E91" w:rsidRPr="00AE18F8" w:rsidRDefault="001147A4">
            <w:pPr>
              <w:keepNext/>
              <w:spacing w:after="60"/>
            </w:pPr>
            <w:r w:rsidRPr="00AE18F8">
              <w:rPr>
                <w:rFonts w:ascii="Calibri" w:hAnsi="Calibri"/>
                <w:sz w:val="20"/>
              </w:rPr>
              <w:t>AIC = 1045.19711773763</w:t>
            </w:r>
          </w:p>
        </w:tc>
      </w:tr>
      <w:tr w:rsidR="00AE18F8" w:rsidRPr="00AE18F8" w14:paraId="0DEDFDF5" w14:textId="77777777">
        <w:trPr>
          <w:cantSplit/>
          <w:jc w:val="center"/>
        </w:trPr>
        <w:tc>
          <w:tcPr>
            <w:tcW w:w="0" w:type="auto"/>
            <w:gridSpan w:val="5"/>
          </w:tcPr>
          <w:p w14:paraId="0DEDFDF4" w14:textId="77777777" w:rsidR="00192E91" w:rsidRPr="00AE18F8" w:rsidRDefault="001147A4">
            <w:pPr>
              <w:keepNext/>
              <w:spacing w:after="60"/>
            </w:pPr>
            <w:r w:rsidRPr="00AE18F8">
              <w:rPr>
                <w:rFonts w:ascii="Calibri" w:hAnsi="Calibri"/>
                <w:sz w:val="20"/>
              </w:rPr>
              <w:t>BIC = 1059.99446141235</w:t>
            </w:r>
          </w:p>
        </w:tc>
      </w:tr>
    </w:tbl>
    <w:tbl>
      <w:tblPr>
        <w:tblStyle w:val="Table"/>
        <w:tblW w:w="5000" w:type="pct"/>
        <w:tblLayout w:type="fixed"/>
        <w:tblLook w:val="0000" w:firstRow="0" w:lastRow="0" w:firstColumn="0" w:lastColumn="0" w:noHBand="0" w:noVBand="0"/>
      </w:tblPr>
      <w:tblGrid>
        <w:gridCol w:w="9360"/>
      </w:tblGrid>
      <w:tr w:rsidR="00AE18F8" w:rsidRPr="00AE18F8" w14:paraId="0DEDFDFA" w14:textId="77777777">
        <w:tc>
          <w:tcPr>
            <w:tcW w:w="7920" w:type="dxa"/>
          </w:tcPr>
          <w:p w14:paraId="0DEDFDF6" w14:textId="77777777" w:rsidR="00192E91" w:rsidRPr="00AE18F8" w:rsidRDefault="001147A4">
            <w:pPr>
              <w:pStyle w:val="ImageCaption"/>
              <w:spacing w:before="200"/>
            </w:pPr>
            <w:bookmarkStart w:id="36" w:name="tbl-km-gengamma-ch1"/>
            <w:r w:rsidRPr="00AE18F8">
              <w:t>Table 8: Survival model fit summary (generalised gamma distribution)</w:t>
            </w:r>
          </w:p>
          <w:bookmarkEnd w:id="36"/>
          <w:p w14:paraId="0DEDFDF9" w14:textId="77777777" w:rsidR="00192E91" w:rsidRPr="00AE18F8" w:rsidRDefault="00192E91"/>
        </w:tc>
      </w:tr>
    </w:tbl>
    <w:p w14:paraId="0DEDFDFB" w14:textId="77777777" w:rsidR="00192E91" w:rsidRPr="00AE18F8" w:rsidRDefault="001147A4">
      <w:r w:rsidRPr="00AE18F8">
        <w:br w:type="page"/>
      </w:r>
    </w:p>
    <w:p w14:paraId="0DEDFDFC" w14:textId="77777777" w:rsidR="00192E91" w:rsidRPr="00AE18F8" w:rsidRDefault="001147A4">
      <w:pPr>
        <w:pStyle w:val="Heading4"/>
        <w:rPr>
          <w:color w:val="auto"/>
        </w:rPr>
      </w:pPr>
      <w:bookmarkStart w:id="37" w:name="gompertz"/>
      <w:bookmarkEnd w:id="34"/>
      <w:r w:rsidRPr="00AE18F8">
        <w:rPr>
          <w:color w:val="auto"/>
        </w:rPr>
        <w:lastRenderedPageBreak/>
        <w:t>Gompertz</w:t>
      </w:r>
    </w:p>
    <w:tbl>
      <w:tblPr>
        <w:tblStyle w:val="Table"/>
        <w:tblW w:w="5000" w:type="pct"/>
        <w:tblLayout w:type="fixed"/>
        <w:tblLook w:val="0020" w:firstRow="1" w:lastRow="0" w:firstColumn="0" w:lastColumn="0" w:noHBand="0" w:noVBand="0"/>
      </w:tblPr>
      <w:tblGrid>
        <w:gridCol w:w="9360"/>
      </w:tblGrid>
      <w:tr w:rsidR="00AE18F8" w:rsidRPr="00AE18F8" w14:paraId="0DEDFDFF"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DFD" w14:textId="77777777" w:rsidR="00192E91" w:rsidRPr="00AE18F8" w:rsidRDefault="001147A4">
            <w:pPr>
              <w:pStyle w:val="Compact"/>
              <w:jc w:val="center"/>
            </w:pPr>
            <w:bookmarkStart w:id="38" w:name="fig-km-gompertz-ch1"/>
            <w:r w:rsidRPr="00AE18F8">
              <w:rPr>
                <w:noProof/>
              </w:rPr>
              <w:drawing>
                <wp:inline distT="0" distB="0" distL="0" distR="0" wp14:anchorId="0DEDFF55" wp14:editId="0DEDFF56">
                  <wp:extent cx="5943600" cy="3657600"/>
                  <wp:effectExtent l="0" t="0" r="0" b="0"/>
                  <wp:docPr id="86" name="Picture" title="A Kaplan-Meier plot showing overall survival over time for individuals who have received venetoclax with obinutuzumab, with an overlaid Gompertz model fit."/>
                  <wp:cNvGraphicFramePr/>
                  <a:graphic xmlns:a="http://schemas.openxmlformats.org/drawingml/2006/main">
                    <a:graphicData uri="http://schemas.openxmlformats.org/drawingml/2006/picture">
                      <pic:pic xmlns:pic="http://schemas.openxmlformats.org/drawingml/2006/picture">
                        <pic:nvPicPr>
                          <pic:cNvPr id="87" name="Picture" descr="ID6232_veno_veni_cll_monthly._ss_files/figure-docx/fig-km-gompertz-ch1-1.png"/>
                          <pic:cNvPicPr>
                            <a:picLocks noChangeAspect="1" noChangeArrowheads="1"/>
                          </pic:cNvPicPr>
                        </pic:nvPicPr>
                        <pic:blipFill>
                          <a:blip r:embed="rId17"/>
                          <a:stretch>
                            <a:fillRect/>
                          </a:stretch>
                        </pic:blipFill>
                        <pic:spPr bwMode="auto">
                          <a:xfrm>
                            <a:off x="0" y="0"/>
                            <a:ext cx="5943600" cy="3657600"/>
                          </a:xfrm>
                          <a:prstGeom prst="rect">
                            <a:avLst/>
                          </a:prstGeom>
                          <a:noFill/>
                          <a:ln w="9525">
                            <a:noFill/>
                            <a:headEnd/>
                            <a:tailEnd/>
                          </a:ln>
                        </pic:spPr>
                      </pic:pic>
                    </a:graphicData>
                  </a:graphic>
                </wp:inline>
              </w:drawing>
            </w:r>
          </w:p>
          <w:p w14:paraId="0DEDFDFE" w14:textId="3D040A2C" w:rsidR="00192E91" w:rsidRPr="00AE18F8" w:rsidRDefault="001147A4">
            <w:pPr>
              <w:pStyle w:val="ImageCaption"/>
              <w:spacing w:before="200"/>
            </w:pPr>
            <w:r w:rsidRPr="00AE18F8">
              <w:t>Figure 1</w:t>
            </w:r>
            <w:r w:rsidR="00B23E74" w:rsidRPr="00AE18F8">
              <w:t>1</w:t>
            </w:r>
            <w:r w:rsidRPr="00AE18F8">
              <w:t>: Overall survival against Gompertz survival function</w:t>
            </w:r>
          </w:p>
        </w:tc>
        <w:bookmarkEnd w:id="38"/>
      </w:tr>
    </w:tbl>
    <w:p w14:paraId="0DEDFE00"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246"/>
        <w:gridCol w:w="1347"/>
      </w:tblGrid>
      <w:tr w:rsidR="00AE18F8" w:rsidRPr="00AE18F8" w14:paraId="0DEDFE06" w14:textId="77777777">
        <w:trPr>
          <w:cantSplit/>
          <w:tblHeader/>
          <w:jc w:val="center"/>
        </w:trPr>
        <w:tc>
          <w:tcPr>
            <w:tcW w:w="0" w:type="auto"/>
            <w:tcBorders>
              <w:top w:val="single" w:sz="16" w:space="0" w:color="D3D3D3"/>
              <w:left w:val="single" w:sz="0" w:space="0" w:color="D3D3D3"/>
              <w:bottom w:val="single" w:sz="16" w:space="0" w:color="D3D3D3"/>
            </w:tcBorders>
          </w:tcPr>
          <w:p w14:paraId="0DEDFE01"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02"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03"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04" w14:textId="77777777" w:rsidR="00192E91" w:rsidRPr="00AE18F8" w:rsidRDefault="001147A4">
            <w:pPr>
              <w:keepNext/>
              <w:spacing w:after="60"/>
              <w:jc w:val="right"/>
            </w:pPr>
            <w:r w:rsidRPr="00AE18F8">
              <w:rPr>
                <w:rFonts w:ascii="Calibri" w:hAnsi="Calibri"/>
                <w:sz w:val="20"/>
              </w:rPr>
              <w:t>L95.</w:t>
            </w:r>
          </w:p>
        </w:tc>
        <w:tc>
          <w:tcPr>
            <w:tcW w:w="0" w:type="auto"/>
            <w:tcBorders>
              <w:top w:val="single" w:sz="16" w:space="0" w:color="D3D3D3"/>
              <w:bottom w:val="single" w:sz="16" w:space="0" w:color="D3D3D3"/>
              <w:right w:val="single" w:sz="0" w:space="0" w:color="D3D3D3"/>
            </w:tcBorders>
          </w:tcPr>
          <w:p w14:paraId="0DEDFE05" w14:textId="77777777" w:rsidR="00192E91" w:rsidRPr="00AE18F8" w:rsidRDefault="001147A4">
            <w:pPr>
              <w:keepNext/>
              <w:spacing w:after="60"/>
              <w:jc w:val="right"/>
            </w:pPr>
            <w:r w:rsidRPr="00AE18F8">
              <w:rPr>
                <w:rFonts w:ascii="Calibri" w:hAnsi="Calibri"/>
                <w:sz w:val="20"/>
              </w:rPr>
              <w:t>U95.</w:t>
            </w:r>
          </w:p>
        </w:tc>
      </w:tr>
      <w:tr w:rsidR="00AE18F8" w:rsidRPr="00AE18F8" w14:paraId="0DEDFE0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07" w14:textId="77777777" w:rsidR="00192E91" w:rsidRPr="00AE18F8" w:rsidRDefault="001147A4">
            <w:pPr>
              <w:keepNext/>
              <w:spacing w:after="60"/>
            </w:pPr>
            <w:r w:rsidRPr="00AE18F8">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0DEDFE08" w14:textId="77777777" w:rsidR="00192E91" w:rsidRPr="00AE18F8" w:rsidRDefault="001147A4">
            <w:pPr>
              <w:keepNext/>
              <w:spacing w:after="60"/>
              <w:jc w:val="right"/>
            </w:pPr>
            <w:r w:rsidRPr="00AE18F8">
              <w:rPr>
                <w:rFonts w:ascii="Calibri" w:hAnsi="Calibri"/>
                <w:sz w:val="20"/>
              </w:rPr>
              <w:t>-0.019</w:t>
            </w:r>
          </w:p>
        </w:tc>
        <w:tc>
          <w:tcPr>
            <w:tcW w:w="0" w:type="auto"/>
            <w:tcBorders>
              <w:top w:val="single" w:sz="0" w:space="0" w:color="D3D3D3"/>
              <w:left w:val="single" w:sz="0" w:space="0" w:color="D3D3D3"/>
              <w:bottom w:val="single" w:sz="0" w:space="0" w:color="D3D3D3"/>
              <w:right w:val="single" w:sz="0" w:space="0" w:color="D3D3D3"/>
            </w:tcBorders>
          </w:tcPr>
          <w:p w14:paraId="0DEDFE09" w14:textId="77777777" w:rsidR="00192E91" w:rsidRPr="00AE18F8" w:rsidRDefault="001147A4">
            <w:pPr>
              <w:keepNext/>
              <w:spacing w:after="60"/>
              <w:jc w:val="right"/>
            </w:pPr>
            <w:r w:rsidRPr="00AE18F8">
              <w:rPr>
                <w:rFonts w:ascii="Calibri" w:hAnsi="Calibri"/>
                <w:sz w:val="20"/>
              </w:rPr>
              <w:t>0.010</w:t>
            </w:r>
          </w:p>
        </w:tc>
        <w:tc>
          <w:tcPr>
            <w:tcW w:w="0" w:type="auto"/>
            <w:tcBorders>
              <w:top w:val="single" w:sz="0" w:space="0" w:color="D3D3D3"/>
              <w:left w:val="single" w:sz="0" w:space="0" w:color="D3D3D3"/>
              <w:bottom w:val="single" w:sz="0" w:space="0" w:color="D3D3D3"/>
              <w:right w:val="single" w:sz="0" w:space="0" w:color="D3D3D3"/>
            </w:tcBorders>
          </w:tcPr>
          <w:p w14:paraId="0DEDFE0A" w14:textId="77777777" w:rsidR="00192E91" w:rsidRPr="00AE18F8" w:rsidRDefault="001147A4">
            <w:pPr>
              <w:keepNext/>
              <w:spacing w:after="60"/>
              <w:jc w:val="right"/>
            </w:pPr>
            <w:r w:rsidRPr="00AE18F8">
              <w:rPr>
                <w:rFonts w:ascii="Calibri" w:hAnsi="Calibri"/>
                <w:sz w:val="20"/>
              </w:rPr>
              <w:t>-0.038574904</w:t>
            </w:r>
          </w:p>
        </w:tc>
        <w:tc>
          <w:tcPr>
            <w:tcW w:w="0" w:type="auto"/>
            <w:tcBorders>
              <w:top w:val="single" w:sz="0" w:space="0" w:color="D3D3D3"/>
              <w:left w:val="single" w:sz="0" w:space="0" w:color="D3D3D3"/>
              <w:bottom w:val="single" w:sz="0" w:space="0" w:color="D3D3D3"/>
              <w:right w:val="single" w:sz="0" w:space="0" w:color="D3D3D3"/>
            </w:tcBorders>
          </w:tcPr>
          <w:p w14:paraId="0DEDFE0B" w14:textId="77777777" w:rsidR="00192E91" w:rsidRPr="00AE18F8" w:rsidRDefault="001147A4">
            <w:pPr>
              <w:keepNext/>
              <w:spacing w:after="60"/>
              <w:jc w:val="right"/>
            </w:pPr>
            <w:r w:rsidRPr="00AE18F8">
              <w:rPr>
                <w:rFonts w:ascii="Calibri" w:hAnsi="Calibri"/>
                <w:sz w:val="20"/>
              </w:rPr>
              <w:t>-0.0001231108</w:t>
            </w:r>
          </w:p>
        </w:tc>
      </w:tr>
      <w:tr w:rsidR="00AE18F8" w:rsidRPr="00AE18F8" w14:paraId="0DEDFE1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0D" w14:textId="77777777" w:rsidR="00192E91" w:rsidRPr="00AE18F8" w:rsidRDefault="001147A4">
            <w:pPr>
              <w:keepNext/>
              <w:spacing w:after="60"/>
            </w:pPr>
            <w:r w:rsidRPr="00AE18F8">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0DEDFE0E" w14:textId="77777777" w:rsidR="00192E91" w:rsidRPr="00AE18F8" w:rsidRDefault="001147A4">
            <w:pPr>
              <w:keepNext/>
              <w:spacing w:after="60"/>
              <w:jc w:val="right"/>
            </w:pPr>
            <w:r w:rsidRPr="00AE18F8">
              <w:rPr>
                <w:rFonts w:ascii="Calibri" w:hAnsi="Calibri"/>
                <w:sz w:val="20"/>
              </w:rPr>
              <w:t>0.003</w:t>
            </w:r>
          </w:p>
        </w:tc>
        <w:tc>
          <w:tcPr>
            <w:tcW w:w="0" w:type="auto"/>
            <w:tcBorders>
              <w:top w:val="single" w:sz="0" w:space="0" w:color="D3D3D3"/>
              <w:left w:val="single" w:sz="0" w:space="0" w:color="D3D3D3"/>
              <w:bottom w:val="single" w:sz="0" w:space="0" w:color="D3D3D3"/>
              <w:right w:val="single" w:sz="0" w:space="0" w:color="D3D3D3"/>
            </w:tcBorders>
          </w:tcPr>
          <w:p w14:paraId="0DEDFE0F" w14:textId="77777777" w:rsidR="00192E91" w:rsidRPr="00AE18F8" w:rsidRDefault="001147A4">
            <w:pPr>
              <w:keepNext/>
              <w:spacing w:after="60"/>
              <w:jc w:val="right"/>
            </w:pPr>
            <w:r w:rsidRPr="00AE18F8">
              <w:rPr>
                <w:rFonts w:ascii="Calibri" w:hAnsi="Calibri"/>
                <w:sz w:val="20"/>
              </w:rPr>
              <w:t>0.001</w:t>
            </w:r>
          </w:p>
        </w:tc>
        <w:tc>
          <w:tcPr>
            <w:tcW w:w="0" w:type="auto"/>
            <w:tcBorders>
              <w:top w:val="single" w:sz="0" w:space="0" w:color="D3D3D3"/>
              <w:left w:val="single" w:sz="0" w:space="0" w:color="D3D3D3"/>
              <w:bottom w:val="single" w:sz="0" w:space="0" w:color="D3D3D3"/>
              <w:right w:val="single" w:sz="0" w:space="0" w:color="D3D3D3"/>
            </w:tcBorders>
          </w:tcPr>
          <w:p w14:paraId="0DEDFE10" w14:textId="77777777" w:rsidR="00192E91" w:rsidRPr="00AE18F8" w:rsidRDefault="001147A4">
            <w:pPr>
              <w:keepNext/>
              <w:spacing w:after="60"/>
              <w:jc w:val="right"/>
            </w:pPr>
            <w:r w:rsidRPr="00AE18F8">
              <w:rPr>
                <w:rFonts w:ascii="Calibri" w:hAnsi="Calibri"/>
                <w:sz w:val="20"/>
              </w:rPr>
              <w:t>0.002265509</w:t>
            </w:r>
          </w:p>
        </w:tc>
        <w:tc>
          <w:tcPr>
            <w:tcW w:w="0" w:type="auto"/>
            <w:tcBorders>
              <w:top w:val="single" w:sz="0" w:space="0" w:color="D3D3D3"/>
              <w:left w:val="single" w:sz="0" w:space="0" w:color="D3D3D3"/>
              <w:bottom w:val="single" w:sz="0" w:space="0" w:color="D3D3D3"/>
              <w:right w:val="single" w:sz="0" w:space="0" w:color="D3D3D3"/>
            </w:tcBorders>
          </w:tcPr>
          <w:p w14:paraId="0DEDFE11" w14:textId="77777777" w:rsidR="00192E91" w:rsidRPr="00AE18F8" w:rsidRDefault="001147A4">
            <w:pPr>
              <w:keepNext/>
              <w:spacing w:after="60"/>
              <w:jc w:val="right"/>
            </w:pPr>
            <w:r w:rsidRPr="00AE18F8">
              <w:rPr>
                <w:rFonts w:ascii="Calibri" w:hAnsi="Calibri"/>
                <w:sz w:val="20"/>
              </w:rPr>
              <w:t>0.0047986789</w:t>
            </w:r>
          </w:p>
        </w:tc>
      </w:tr>
      <w:tr w:rsidR="00AE18F8" w:rsidRPr="00AE18F8" w14:paraId="0DEDFE14" w14:textId="77777777">
        <w:trPr>
          <w:cantSplit/>
          <w:jc w:val="center"/>
        </w:trPr>
        <w:tc>
          <w:tcPr>
            <w:tcW w:w="0" w:type="auto"/>
            <w:gridSpan w:val="5"/>
          </w:tcPr>
          <w:p w14:paraId="0DEDFE13" w14:textId="77777777" w:rsidR="00192E91" w:rsidRPr="00AE18F8" w:rsidRDefault="001147A4">
            <w:pPr>
              <w:keepNext/>
              <w:spacing w:after="60"/>
            </w:pPr>
            <w:r w:rsidRPr="00AE18F8">
              <w:rPr>
                <w:rFonts w:ascii="Calibri" w:hAnsi="Calibri"/>
                <w:sz w:val="20"/>
              </w:rPr>
              <w:t>log-likelihood = -519.093973662291</w:t>
            </w:r>
          </w:p>
        </w:tc>
      </w:tr>
      <w:tr w:rsidR="00AE18F8" w:rsidRPr="00AE18F8" w14:paraId="0DEDFE16" w14:textId="77777777">
        <w:trPr>
          <w:cantSplit/>
          <w:jc w:val="center"/>
        </w:trPr>
        <w:tc>
          <w:tcPr>
            <w:tcW w:w="0" w:type="auto"/>
            <w:gridSpan w:val="5"/>
          </w:tcPr>
          <w:p w14:paraId="0DEDFE15" w14:textId="77777777" w:rsidR="00192E91" w:rsidRPr="00AE18F8" w:rsidRDefault="001147A4">
            <w:pPr>
              <w:keepNext/>
              <w:spacing w:after="60"/>
            </w:pPr>
            <w:r w:rsidRPr="00AE18F8">
              <w:rPr>
                <w:rFonts w:ascii="Calibri" w:hAnsi="Calibri"/>
                <w:sz w:val="20"/>
              </w:rPr>
              <w:t>AIC = 1042.18794732458</w:t>
            </w:r>
          </w:p>
        </w:tc>
      </w:tr>
      <w:tr w:rsidR="00AE18F8" w:rsidRPr="00AE18F8" w14:paraId="0DEDFE18" w14:textId="77777777">
        <w:trPr>
          <w:cantSplit/>
          <w:jc w:val="center"/>
        </w:trPr>
        <w:tc>
          <w:tcPr>
            <w:tcW w:w="0" w:type="auto"/>
            <w:gridSpan w:val="5"/>
          </w:tcPr>
          <w:p w14:paraId="0DEDFE17" w14:textId="77777777" w:rsidR="00192E91" w:rsidRPr="00AE18F8" w:rsidRDefault="001147A4">
            <w:pPr>
              <w:keepNext/>
              <w:spacing w:after="60"/>
            </w:pPr>
            <w:r w:rsidRPr="00AE18F8">
              <w:rPr>
                <w:rFonts w:ascii="Calibri" w:hAnsi="Calibri"/>
                <w:sz w:val="20"/>
              </w:rPr>
              <w:t>BIC = 1052.05284310773</w:t>
            </w:r>
          </w:p>
        </w:tc>
      </w:tr>
    </w:tbl>
    <w:tbl>
      <w:tblPr>
        <w:tblStyle w:val="Table"/>
        <w:tblW w:w="5000" w:type="pct"/>
        <w:tblLayout w:type="fixed"/>
        <w:tblLook w:val="0000" w:firstRow="0" w:lastRow="0" w:firstColumn="0" w:lastColumn="0" w:noHBand="0" w:noVBand="0"/>
      </w:tblPr>
      <w:tblGrid>
        <w:gridCol w:w="9360"/>
      </w:tblGrid>
      <w:tr w:rsidR="00AE18F8" w:rsidRPr="00AE18F8" w14:paraId="0DEDFE1D" w14:textId="77777777">
        <w:tc>
          <w:tcPr>
            <w:tcW w:w="7920" w:type="dxa"/>
          </w:tcPr>
          <w:p w14:paraId="0DEDFE19" w14:textId="77777777" w:rsidR="00192E91" w:rsidRPr="00AE18F8" w:rsidRDefault="001147A4">
            <w:pPr>
              <w:pStyle w:val="ImageCaption"/>
              <w:spacing w:before="200"/>
            </w:pPr>
            <w:bookmarkStart w:id="39" w:name="tbl-km-Gompertz-ch1"/>
            <w:r w:rsidRPr="00AE18F8">
              <w:t>Table 9: Survival model fit summary (Gompertz distribution)</w:t>
            </w:r>
          </w:p>
          <w:bookmarkEnd w:id="39"/>
          <w:p w14:paraId="0DEDFE1C" w14:textId="77777777" w:rsidR="00192E91" w:rsidRPr="00AE18F8" w:rsidRDefault="00192E91"/>
        </w:tc>
      </w:tr>
    </w:tbl>
    <w:p w14:paraId="0DEDFE1E" w14:textId="77777777" w:rsidR="00192E91" w:rsidRPr="00AE18F8" w:rsidRDefault="001147A4">
      <w:r w:rsidRPr="00AE18F8">
        <w:br w:type="page"/>
      </w:r>
    </w:p>
    <w:p w14:paraId="0DEDFE1F" w14:textId="77777777" w:rsidR="00192E91" w:rsidRPr="00AE18F8" w:rsidRDefault="001147A4">
      <w:pPr>
        <w:pStyle w:val="Heading1"/>
        <w:rPr>
          <w:color w:val="auto"/>
        </w:rPr>
      </w:pPr>
      <w:bookmarkStart w:id="40" w:name="Xcbe0379bc1dbb6b03a7d500ebbe5ef15e05c83e"/>
      <w:bookmarkEnd w:id="2"/>
      <w:bookmarkEnd w:id="9"/>
      <w:bookmarkEnd w:id="13"/>
      <w:bookmarkEnd w:id="37"/>
      <w:r w:rsidRPr="00AE18F8">
        <w:rPr>
          <w:color w:val="auto"/>
        </w:rPr>
        <w:lastRenderedPageBreak/>
        <w:t>Age and overall survival for untreated chronic lymphocytic leukaemia treated with venetoclax with ibrutinib (VenI; cohort 2)</w:t>
      </w:r>
    </w:p>
    <w:p w14:paraId="0DEDFE20" w14:textId="77777777" w:rsidR="00192E91" w:rsidRPr="00AE18F8" w:rsidRDefault="001147A4">
      <w:pPr>
        <w:pStyle w:val="Heading2"/>
        <w:rPr>
          <w:color w:val="auto"/>
        </w:rPr>
      </w:pPr>
      <w:bookmarkStart w:id="41" w:name="introduction-1"/>
      <w:r w:rsidRPr="00AE18F8">
        <w:rPr>
          <w:color w:val="auto"/>
        </w:rPr>
        <w:t>Introduction</w:t>
      </w:r>
    </w:p>
    <w:p w14:paraId="0DEDFE21" w14:textId="77777777" w:rsidR="00192E91" w:rsidRPr="00AE18F8" w:rsidRDefault="001147A4">
      <w:pPr>
        <w:pStyle w:val="FirstParagraph"/>
      </w:pPr>
      <w:r w:rsidRPr="00AE18F8">
        <w:t>This report was produced in partnership by the National Disease and Registration Service (NDRS) and National Institute for Health and Care Excellence (NICE). It presents overall survival and age distributions among patients aged 18 or over with untreated chronic lymphocytic leukemia (CLL) who have received venetoclax with ibrutinib (VenI; cohort 2).</w:t>
      </w:r>
    </w:p>
    <w:p w14:paraId="0DEDFE22" w14:textId="77777777" w:rsidR="00192E91" w:rsidRPr="00AE18F8" w:rsidRDefault="001147A4">
      <w:pPr>
        <w:pStyle w:val="Heading2"/>
        <w:rPr>
          <w:color w:val="auto"/>
        </w:rPr>
      </w:pPr>
      <w:bookmarkStart w:id="42" w:name="method-1"/>
      <w:bookmarkEnd w:id="41"/>
      <w:r w:rsidRPr="00AE18F8">
        <w:rPr>
          <w:color w:val="auto"/>
        </w:rPr>
        <w:t>Method</w:t>
      </w:r>
    </w:p>
    <w:p w14:paraId="0DEDFE23" w14:textId="77777777" w:rsidR="00192E91" w:rsidRPr="00AE18F8" w:rsidRDefault="001147A4">
      <w:pPr>
        <w:pStyle w:val="FirstParagraph"/>
      </w:pPr>
      <w:r w:rsidRPr="00AE18F8">
        <w:t>A snapshot of SACT data was taken on 7</w:t>
      </w:r>
      <w:r w:rsidRPr="00AE18F8">
        <w:rPr>
          <w:vertAlign w:val="superscript"/>
        </w:rPr>
        <w:t>th</w:t>
      </w:r>
      <w:r w:rsidRPr="00AE18F8">
        <w:t xml:space="preserve"> December 2025 and made available for analysis on 19</w:t>
      </w:r>
      <w:r w:rsidRPr="00AE18F8">
        <w:rPr>
          <w:vertAlign w:val="superscript"/>
        </w:rPr>
        <w:t>th</w:t>
      </w:r>
      <w:r w:rsidRPr="00AE18F8">
        <w:t xml:space="preserve"> December 2025. SACT data is only considered complete when 90% of trusts have submitted data. As a result, SACT data is considered complete up to 31</w:t>
      </w:r>
      <w:r w:rsidRPr="00AE18F8">
        <w:rPr>
          <w:vertAlign w:val="superscript"/>
        </w:rPr>
        <w:t>st</w:t>
      </w:r>
      <w:r w:rsidRPr="00AE18F8">
        <w:t xml:space="preserve"> March 2025. Patients were traced for their vital status on 5</w:t>
      </w:r>
      <w:r w:rsidRPr="00AE18F8">
        <w:rPr>
          <w:vertAlign w:val="superscript"/>
        </w:rPr>
        <w:t>th</w:t>
      </w:r>
      <w:r w:rsidRPr="00AE18F8">
        <w:t xml:space="preserve"> October 2025.</w:t>
      </w:r>
    </w:p>
    <w:p w14:paraId="0DEDFE24" w14:textId="77777777" w:rsidR="00192E91" w:rsidRPr="00AE18F8" w:rsidRDefault="001147A4">
      <w:pPr>
        <w:pStyle w:val="BodyText"/>
      </w:pPr>
      <w:r w:rsidRPr="00AE18F8">
        <w:t>Descriptive statistics of age were computed, along with Kaplan-Meier estimates and parametric fits for overall survival (OS). Patients were censored at the date of the most recent trace (5</w:t>
      </w:r>
      <w:r w:rsidRPr="00AE18F8">
        <w:rPr>
          <w:vertAlign w:val="superscript"/>
        </w:rPr>
        <w:t>th</w:t>
      </w:r>
      <w:r w:rsidRPr="00AE18F8">
        <w:t xml:space="preserve"> October 2025), representing the last date on which vital status was confirmed. Given the high survival rate in this population, the fitted curves were extrapolated to cover a 10-year period following treatment initiation. The generalised gamma model was excluded from the VenI cohort because it produced unreliable results and an implausible survival curve beyond the observed data.</w:t>
      </w:r>
    </w:p>
    <w:p w14:paraId="0DEDFE25" w14:textId="77777777" w:rsidR="00192E91" w:rsidRPr="00AE18F8" w:rsidRDefault="001147A4">
      <w:pPr>
        <w:pStyle w:val="Heading3"/>
        <w:rPr>
          <w:color w:val="auto"/>
        </w:rPr>
      </w:pPr>
      <w:bookmarkStart w:id="43" w:name="cohort-inclusions-exclusions-1"/>
      <w:r w:rsidRPr="00AE18F8">
        <w:rPr>
          <w:color w:val="auto"/>
        </w:rPr>
        <w:t>Cohort inclusions / exclusions</w:t>
      </w:r>
    </w:p>
    <w:p w14:paraId="0DEDFE26" w14:textId="77777777" w:rsidR="00192E91" w:rsidRPr="00AE18F8" w:rsidRDefault="001147A4">
      <w:pPr>
        <w:pStyle w:val="FirstParagraph"/>
      </w:pPr>
      <w:r w:rsidRPr="00AE18F8">
        <w:t>Patients were included if they met all of the following:</w:t>
      </w:r>
    </w:p>
    <w:p w14:paraId="0DEDFE27" w14:textId="77777777" w:rsidR="00192E91" w:rsidRPr="00AE18F8" w:rsidRDefault="001147A4">
      <w:pPr>
        <w:pStyle w:val="Compact"/>
        <w:numPr>
          <w:ilvl w:val="0"/>
          <w:numId w:val="18"/>
        </w:numPr>
      </w:pPr>
      <w:r w:rsidRPr="00AE18F8">
        <w:t>Diagnosed between 1</w:t>
      </w:r>
      <w:r w:rsidRPr="00AE18F8">
        <w:rPr>
          <w:vertAlign w:val="superscript"/>
        </w:rPr>
        <w:t>st</w:t>
      </w:r>
      <w:r w:rsidRPr="00AE18F8">
        <w:t xml:space="preserve"> April 2018 and 31</w:t>
      </w:r>
      <w:r w:rsidRPr="00AE18F8">
        <w:rPr>
          <w:vertAlign w:val="superscript"/>
        </w:rPr>
        <w:t>st</w:t>
      </w:r>
      <w:r w:rsidRPr="00AE18F8">
        <w:t xml:space="preserve"> December 2023</w:t>
      </w:r>
    </w:p>
    <w:p w14:paraId="0DEDFE28" w14:textId="77777777" w:rsidR="00192E91" w:rsidRPr="00AE18F8" w:rsidRDefault="001147A4">
      <w:pPr>
        <w:pStyle w:val="Compact"/>
        <w:numPr>
          <w:ilvl w:val="0"/>
          <w:numId w:val="18"/>
        </w:numPr>
      </w:pPr>
      <w:r w:rsidRPr="00AE18F8">
        <w:t>Gender recorded as male or female</w:t>
      </w:r>
    </w:p>
    <w:p w14:paraId="0DEDFE29" w14:textId="77777777" w:rsidR="00192E91" w:rsidRPr="00AE18F8" w:rsidRDefault="001147A4">
      <w:pPr>
        <w:pStyle w:val="Compact"/>
        <w:numPr>
          <w:ilvl w:val="0"/>
          <w:numId w:val="18"/>
        </w:numPr>
      </w:pPr>
      <w:r w:rsidRPr="00AE18F8">
        <w:t>Country code was ‘England’, based on postcode of residence at diagnosis</w:t>
      </w:r>
    </w:p>
    <w:p w14:paraId="0DEDFE2A" w14:textId="77777777" w:rsidR="00192E91" w:rsidRPr="00AE18F8" w:rsidRDefault="001147A4">
      <w:pPr>
        <w:pStyle w:val="Compact"/>
        <w:numPr>
          <w:ilvl w:val="0"/>
          <w:numId w:val="18"/>
        </w:numPr>
      </w:pPr>
      <w:r w:rsidRPr="00AE18F8">
        <w:t>Age at diagnosis date was 18 or over</w:t>
      </w:r>
    </w:p>
    <w:p w14:paraId="0DEDFE2B" w14:textId="77777777" w:rsidR="00192E91" w:rsidRPr="00AE18F8" w:rsidRDefault="001147A4">
      <w:pPr>
        <w:pStyle w:val="Compact"/>
        <w:numPr>
          <w:ilvl w:val="0"/>
          <w:numId w:val="18"/>
        </w:numPr>
      </w:pPr>
      <w:r w:rsidRPr="00AE18F8">
        <w:t>Diagnosis of CLL confirmed by an ICD-10 code ‘C91.1’ (Chronic lymphocytic leukaemia of B-cell type) and ICD-O-3 morphology code ‘9823/3’ (Chronic lymphocytic leukaemia/small lymphocytic lymphoma)</w:t>
      </w:r>
    </w:p>
    <w:p w14:paraId="0DEDFE2C" w14:textId="77777777" w:rsidR="00192E91" w:rsidRPr="00AE18F8" w:rsidRDefault="001147A4">
      <w:pPr>
        <w:pStyle w:val="Compact"/>
        <w:numPr>
          <w:ilvl w:val="0"/>
          <w:numId w:val="18"/>
        </w:numPr>
      </w:pPr>
      <w:r w:rsidRPr="00AE18F8">
        <w:t>Only one CLL neoplasm recorded during the study period</w:t>
      </w:r>
    </w:p>
    <w:p w14:paraId="0DEDFE2D" w14:textId="77777777" w:rsidR="00192E91" w:rsidRPr="00AE18F8" w:rsidRDefault="001147A4">
      <w:pPr>
        <w:pStyle w:val="Compact"/>
        <w:numPr>
          <w:ilvl w:val="0"/>
          <w:numId w:val="18"/>
        </w:numPr>
      </w:pPr>
      <w:r w:rsidRPr="00AE18F8">
        <w:t>No registration for another malignant neoplasm within the 36 months preceding CLL diagnosis</w:t>
      </w:r>
    </w:p>
    <w:p w14:paraId="0DEDFE2E" w14:textId="77777777" w:rsidR="00192E91" w:rsidRPr="00AE18F8" w:rsidRDefault="001147A4">
      <w:pPr>
        <w:pStyle w:val="Compact"/>
        <w:numPr>
          <w:ilvl w:val="0"/>
          <w:numId w:val="18"/>
        </w:numPr>
      </w:pPr>
      <w:r w:rsidRPr="00AE18F8">
        <w:t>VenI treatment was initiated on or after 31</w:t>
      </w:r>
      <w:r w:rsidRPr="00AE18F8">
        <w:rPr>
          <w:vertAlign w:val="superscript"/>
        </w:rPr>
        <w:t>st</w:t>
      </w:r>
      <w:r w:rsidRPr="00AE18F8">
        <w:t xml:space="preserve"> May 2023 (NICE TA891 publication date). Usage before this point is assumed to be through compassionate use schemes.</w:t>
      </w:r>
    </w:p>
    <w:p w14:paraId="0DEDFE2F" w14:textId="77777777" w:rsidR="00192E91" w:rsidRPr="00AE18F8" w:rsidRDefault="001147A4">
      <w:pPr>
        <w:pStyle w:val="Compact"/>
        <w:numPr>
          <w:ilvl w:val="0"/>
          <w:numId w:val="18"/>
        </w:numPr>
      </w:pPr>
      <w:r w:rsidRPr="00AE18F8">
        <w:t>VenI treatment was initiated on or before the point at which SACT is considered complete (31</w:t>
      </w:r>
      <w:r w:rsidRPr="00AE18F8">
        <w:rPr>
          <w:vertAlign w:val="superscript"/>
        </w:rPr>
        <w:t>st</w:t>
      </w:r>
      <w:r w:rsidRPr="00AE18F8">
        <w:t xml:space="preserve"> March 2025).</w:t>
      </w:r>
    </w:p>
    <w:p w14:paraId="0DEDFE30" w14:textId="77777777" w:rsidR="00192E91" w:rsidRPr="00AE18F8" w:rsidRDefault="001147A4">
      <w:pPr>
        <w:pStyle w:val="Compact"/>
        <w:numPr>
          <w:ilvl w:val="0"/>
          <w:numId w:val="18"/>
        </w:numPr>
      </w:pPr>
      <w:r w:rsidRPr="00AE18F8">
        <w:lastRenderedPageBreak/>
        <w:t>Individuals were untreated, and had received no prior systemic anti-cancer therapy in the period between 1</w:t>
      </w:r>
      <w:r w:rsidRPr="00AE18F8">
        <w:rPr>
          <w:vertAlign w:val="superscript"/>
        </w:rPr>
        <w:t>st</w:t>
      </w:r>
      <w:r w:rsidRPr="00AE18F8">
        <w:t xml:space="preserve"> April 2018 and the date of VenI initiation. Qualifying prior therapies included:</w:t>
      </w:r>
    </w:p>
    <w:p w14:paraId="0DEDFE31" w14:textId="77777777" w:rsidR="00192E91" w:rsidRPr="00AE18F8" w:rsidRDefault="001147A4">
      <w:pPr>
        <w:pStyle w:val="Compact"/>
        <w:numPr>
          <w:ilvl w:val="1"/>
          <w:numId w:val="19"/>
        </w:numPr>
      </w:pPr>
      <w:r w:rsidRPr="00AE18F8">
        <w:t>Monotherapies: acalabrutinib, zanubrutinib, fludarabine, bendamustine, venetoclax, ibrutinib, chlorambucil, rituximab, idelalisib, or cyclophosphamide</w:t>
      </w:r>
    </w:p>
    <w:p w14:paraId="0DEDFE32" w14:textId="77777777" w:rsidR="00192E91" w:rsidRPr="00AE18F8" w:rsidRDefault="001147A4">
      <w:pPr>
        <w:pStyle w:val="Compact"/>
        <w:numPr>
          <w:ilvl w:val="1"/>
          <w:numId w:val="19"/>
        </w:numPr>
      </w:pPr>
      <w:r w:rsidRPr="00AE18F8">
        <w:t>Combination therapies: venetoclax + obinutuzumab, cyclophosphamide + obinutuzumab, rituximab + venetoclax, rituximab + fludarabine, rituximab + bendamustine, rituximab + chlorambucil, rituximab + idelalisib, or rituximab + cyclophosphamide. Combination therapies may also include other drugs (e.g. rituximab + cyclophosphamide + other) would also be considered a viable treatment.</w:t>
      </w:r>
    </w:p>
    <w:p w14:paraId="0DEDFE33" w14:textId="77777777" w:rsidR="00192E91" w:rsidRPr="00AE18F8" w:rsidRDefault="001147A4">
      <w:pPr>
        <w:pStyle w:val="FirstParagraph"/>
      </w:pPr>
      <w:r w:rsidRPr="00AE18F8">
        <w:t xml:space="preserve">Note: A potential limitation of this study is that treatments were identified using the ‘regimen’ table. As individual drug administrations in the ‘drug_detail’ table were not reviewed, some individuals who met the inclusion criteria but were only identifiable through drug administration records may have been </w:t>
      </w:r>
      <w:proofErr w:type="gramStart"/>
      <w:r w:rsidRPr="00AE18F8">
        <w:t>missed</w:t>
      </w:r>
      <w:proofErr w:type="gramEnd"/>
      <w:r w:rsidRPr="00AE18F8">
        <w:t>.</w:t>
      </w:r>
    </w:p>
    <w:p w14:paraId="039D59B1" w14:textId="77777777" w:rsidR="005A4AA4" w:rsidRPr="00AE18F8" w:rsidRDefault="005A4AA4" w:rsidP="005A4AA4">
      <w:pPr>
        <w:pStyle w:val="Heading4"/>
        <w:rPr>
          <w:color w:val="auto"/>
        </w:rPr>
      </w:pPr>
      <w:bookmarkStart w:id="44" w:name="flow-chart-1"/>
      <w:r w:rsidRPr="00AE18F8">
        <w:rPr>
          <w:color w:val="auto"/>
        </w:rPr>
        <w:t>Flow chart</w:t>
      </w:r>
    </w:p>
    <w:tbl>
      <w:tblPr>
        <w:tblStyle w:val="Table"/>
        <w:tblW w:w="5000" w:type="pct"/>
        <w:tblLook w:val="0020" w:firstRow="1" w:lastRow="0" w:firstColumn="0" w:lastColumn="0" w:noHBand="0" w:noVBand="0"/>
      </w:tblPr>
      <w:tblGrid>
        <w:gridCol w:w="9360"/>
      </w:tblGrid>
      <w:tr w:rsidR="00AE18F8" w:rsidRPr="00AE18F8" w14:paraId="723172AB" w14:textId="77777777" w:rsidTr="003C66C2">
        <w:trPr>
          <w:cnfStyle w:val="100000000000" w:firstRow="1" w:lastRow="0" w:firstColumn="0" w:lastColumn="0" w:oddVBand="0" w:evenVBand="0" w:oddHBand="0" w:evenHBand="0" w:firstRowFirstColumn="0" w:firstRowLastColumn="0" w:lastRowFirstColumn="0" w:lastRowLastColumn="0"/>
        </w:trPr>
        <w:tc>
          <w:tcPr>
            <w:tcW w:w="0" w:type="auto"/>
          </w:tcPr>
          <w:p w14:paraId="468697FE" w14:textId="77777777" w:rsidR="005A4AA4" w:rsidRPr="00AE18F8" w:rsidRDefault="005A4AA4" w:rsidP="0038754C">
            <w:pPr>
              <w:jc w:val="center"/>
            </w:pPr>
            <w:bookmarkStart w:id="45" w:name="fig-flow-ch2"/>
            <w:r w:rsidRPr="00AE18F8">
              <w:rPr>
                <w:noProof/>
              </w:rPr>
              <w:drawing>
                <wp:inline distT="0" distB="0" distL="0" distR="0" wp14:anchorId="6E09066D" wp14:editId="6B486A9F">
                  <wp:extent cx="5943600" cy="3567506"/>
                  <wp:effectExtent l="0" t="0" r="0" b="0"/>
                  <wp:docPr id="101" name="Picture" title="A flowchart showing how exclusion criteria reduce the sample to 108 cases"/>
                  <wp:cNvGraphicFramePr/>
                  <a:graphic xmlns:a="http://schemas.openxmlformats.org/drawingml/2006/main">
                    <a:graphicData uri="http://schemas.openxmlformats.org/drawingml/2006/picture">
                      <pic:pic xmlns:pic="http://schemas.openxmlformats.org/drawingml/2006/picture">
                        <pic:nvPicPr>
                          <pic:cNvPr id="102" name="Picture" descr="ID6232_veno_veni_cll_files/figure-docx/fig-flow-ch2-1.png"/>
                          <pic:cNvPicPr>
                            <a:picLocks noChangeAspect="1" noChangeArrowheads="1"/>
                          </pic:cNvPicPr>
                        </pic:nvPicPr>
                        <pic:blipFill>
                          <a:blip r:embed="rId18"/>
                          <a:stretch>
                            <a:fillRect/>
                          </a:stretch>
                        </pic:blipFill>
                        <pic:spPr bwMode="auto">
                          <a:xfrm>
                            <a:off x="0" y="0"/>
                            <a:ext cx="5943600" cy="3567506"/>
                          </a:xfrm>
                          <a:prstGeom prst="rect">
                            <a:avLst/>
                          </a:prstGeom>
                          <a:noFill/>
                          <a:ln w="9525">
                            <a:noFill/>
                            <a:headEnd/>
                            <a:tailEnd/>
                          </a:ln>
                        </pic:spPr>
                      </pic:pic>
                    </a:graphicData>
                  </a:graphic>
                </wp:inline>
              </w:drawing>
            </w:r>
          </w:p>
          <w:p w14:paraId="3481CA0F" w14:textId="77777777" w:rsidR="005A4AA4" w:rsidRPr="00AE18F8" w:rsidRDefault="005A4AA4" w:rsidP="0038754C">
            <w:pPr>
              <w:pStyle w:val="ImageCaption"/>
              <w:spacing w:before="200"/>
            </w:pPr>
            <w:r w:rsidRPr="00AE18F8">
              <w:t>Figure 12: Inclusion / Exclusion Flow Chart</w:t>
            </w:r>
          </w:p>
        </w:tc>
        <w:bookmarkEnd w:id="45"/>
      </w:tr>
      <w:bookmarkEnd w:id="44"/>
    </w:tbl>
    <w:p w14:paraId="6764083F" w14:textId="77777777" w:rsidR="005A4AA4" w:rsidRPr="00AE18F8" w:rsidRDefault="005A4AA4" w:rsidP="005A4AA4">
      <w:pPr>
        <w:pStyle w:val="BodyText"/>
      </w:pPr>
    </w:p>
    <w:p w14:paraId="0DEDFE34" w14:textId="77777777" w:rsidR="00192E91" w:rsidRPr="00AE18F8" w:rsidRDefault="001147A4">
      <w:pPr>
        <w:pStyle w:val="Heading3"/>
        <w:rPr>
          <w:color w:val="auto"/>
        </w:rPr>
      </w:pPr>
      <w:bookmarkStart w:id="46" w:name="patient-acknowledgement-1"/>
      <w:bookmarkEnd w:id="43"/>
      <w:r w:rsidRPr="00AE18F8">
        <w:rPr>
          <w:color w:val="auto"/>
        </w:rPr>
        <w:lastRenderedPageBreak/>
        <w:t>Patient acknowledgement</w:t>
      </w:r>
    </w:p>
    <w:p w14:paraId="0DEDFE35" w14:textId="77777777" w:rsidR="00192E91" w:rsidRPr="00AE18F8" w:rsidRDefault="001147A4">
      <w:pPr>
        <w:pStyle w:val="FirstParagraph"/>
      </w:pPr>
      <w:r w:rsidRPr="00AE18F8">
        <w:t>This work uses data that has been provided by patients and collected by the NHS as part of their care and support. The data is collated, maintained and quality assured by the National Cancer Registration and Analysis Service, which is part of NHS England.</w:t>
      </w:r>
    </w:p>
    <w:p w14:paraId="0DEDFE36" w14:textId="77777777" w:rsidR="00192E91" w:rsidRPr="00AE18F8" w:rsidRDefault="001147A4">
      <w:r w:rsidRPr="00AE18F8">
        <w:br w:type="page"/>
      </w:r>
    </w:p>
    <w:p w14:paraId="0DEDFE37" w14:textId="77777777" w:rsidR="00192E91" w:rsidRPr="00AE18F8" w:rsidRDefault="001147A4">
      <w:pPr>
        <w:pStyle w:val="Heading2"/>
        <w:rPr>
          <w:color w:val="auto"/>
        </w:rPr>
      </w:pPr>
      <w:bookmarkStart w:id="47" w:name="results-1"/>
      <w:bookmarkEnd w:id="42"/>
      <w:bookmarkEnd w:id="46"/>
      <w:r w:rsidRPr="00AE18F8">
        <w:rPr>
          <w:color w:val="auto"/>
        </w:rPr>
        <w:lastRenderedPageBreak/>
        <w:t>Results</w:t>
      </w:r>
    </w:p>
    <w:p w14:paraId="0DEDFE38" w14:textId="77777777" w:rsidR="00192E91" w:rsidRPr="00AE18F8" w:rsidRDefault="001147A4">
      <w:pPr>
        <w:pStyle w:val="Heading3"/>
        <w:rPr>
          <w:color w:val="auto"/>
        </w:rPr>
      </w:pPr>
      <w:bookmarkStart w:id="48" w:name="age-at-start-of-treatment-1"/>
      <w:r w:rsidRPr="00AE18F8">
        <w:rPr>
          <w:color w:val="auto"/>
        </w:rPr>
        <w:t>Age at start of treatment</w:t>
      </w:r>
    </w:p>
    <w:p w14:paraId="0DEDFE39" w14:textId="77777777" w:rsidR="00192E91" w:rsidRPr="00AE18F8" w:rsidRDefault="001147A4">
      <w:pPr>
        <w:pStyle w:val="FirstParagraph"/>
      </w:pPr>
      <w:r w:rsidRPr="00AE18F8">
        <w:t xml:space="preserve">The table below sets out the mean age, standard deviation, median age and interquartile range (IQR) of patients who have received VenI for chronic lymphocytic leukemia, split by gender. Age is measured at the commencement of the first VenI treatment regimen. </w:t>
      </w:r>
    </w:p>
    <w:tbl>
      <w:tblPr>
        <w:tblW w:w="0" w:type="auto"/>
        <w:jc w:val="center"/>
        <w:tblCellMar>
          <w:left w:w="60" w:type="dxa"/>
          <w:right w:w="60" w:type="dxa"/>
        </w:tblCellMar>
        <w:tblLook w:val="0000" w:firstRow="0" w:lastRow="0" w:firstColumn="0" w:lastColumn="0" w:noHBand="0" w:noVBand="0"/>
      </w:tblPr>
      <w:tblGrid>
        <w:gridCol w:w="1991"/>
        <w:gridCol w:w="1655"/>
        <w:gridCol w:w="1756"/>
      </w:tblGrid>
      <w:tr w:rsidR="00AE18F8" w:rsidRPr="00AE18F8" w14:paraId="0DEDFE3D" w14:textId="77777777">
        <w:trPr>
          <w:cantSplit/>
          <w:tblHeader/>
          <w:jc w:val="center"/>
        </w:trPr>
        <w:tc>
          <w:tcPr>
            <w:tcW w:w="0" w:type="auto"/>
            <w:tcBorders>
              <w:top w:val="single" w:sz="16" w:space="0" w:color="D3D3D3"/>
              <w:left w:val="single" w:sz="0" w:space="0" w:color="D3D3D3"/>
              <w:bottom w:val="single" w:sz="16" w:space="0" w:color="D3D3D3"/>
            </w:tcBorders>
          </w:tcPr>
          <w:p w14:paraId="0DEDFE3A" w14:textId="77777777" w:rsidR="00192E91" w:rsidRPr="00AE18F8" w:rsidRDefault="001147A4">
            <w:pPr>
              <w:keepNext/>
              <w:spacing w:after="60"/>
            </w:pPr>
            <w:r w:rsidRPr="00AE18F8">
              <w:rPr>
                <w:rFonts w:ascii="Calibri" w:hAnsi="Calibri"/>
                <w:b/>
                <w:sz w:val="20"/>
              </w:rPr>
              <w:t>Characteristic</w:t>
            </w:r>
          </w:p>
        </w:tc>
        <w:tc>
          <w:tcPr>
            <w:tcW w:w="0" w:type="auto"/>
            <w:tcBorders>
              <w:top w:val="single" w:sz="16" w:space="0" w:color="D3D3D3"/>
              <w:bottom w:val="single" w:sz="16" w:space="0" w:color="D3D3D3"/>
            </w:tcBorders>
          </w:tcPr>
          <w:p w14:paraId="0DEDFE3B" w14:textId="77777777" w:rsidR="00192E91" w:rsidRPr="00AE18F8" w:rsidRDefault="001147A4">
            <w:pPr>
              <w:keepNext/>
              <w:spacing w:after="60"/>
              <w:jc w:val="center"/>
            </w:pPr>
            <w:r w:rsidRPr="00AE18F8">
              <w:rPr>
                <w:rFonts w:ascii="Calibri" w:hAnsi="Calibri"/>
                <w:b/>
                <w:sz w:val="20"/>
              </w:rPr>
              <w:t>Female</w:t>
            </w:r>
            <w:r w:rsidRPr="00AE18F8">
              <w:rPr>
                <w:rFonts w:ascii="Calibri" w:hAnsi="Calibri"/>
                <w:sz w:val="20"/>
              </w:rPr>
              <w:t xml:space="preserve"> N = 33</w:t>
            </w:r>
            <w:r w:rsidRPr="00AE18F8">
              <w:rPr>
                <w:rFonts w:ascii="Calibri" w:hAnsi="Calibri"/>
                <w:i/>
                <w:sz w:val="20"/>
                <w:vertAlign w:val="superscript"/>
              </w:rPr>
              <w:t>1</w:t>
            </w:r>
          </w:p>
        </w:tc>
        <w:tc>
          <w:tcPr>
            <w:tcW w:w="0" w:type="auto"/>
            <w:tcBorders>
              <w:top w:val="single" w:sz="16" w:space="0" w:color="D3D3D3"/>
              <w:bottom w:val="single" w:sz="16" w:space="0" w:color="D3D3D3"/>
              <w:right w:val="single" w:sz="0" w:space="0" w:color="D3D3D3"/>
            </w:tcBorders>
          </w:tcPr>
          <w:p w14:paraId="0DEDFE3C" w14:textId="77777777" w:rsidR="00192E91" w:rsidRPr="00AE18F8" w:rsidRDefault="001147A4">
            <w:pPr>
              <w:keepNext/>
              <w:spacing w:after="60"/>
              <w:jc w:val="center"/>
            </w:pPr>
            <w:r w:rsidRPr="00AE18F8">
              <w:rPr>
                <w:rFonts w:ascii="Calibri" w:hAnsi="Calibri"/>
                <w:b/>
                <w:sz w:val="20"/>
              </w:rPr>
              <w:t>Male</w:t>
            </w:r>
            <w:r w:rsidRPr="00AE18F8">
              <w:rPr>
                <w:rFonts w:ascii="Calibri" w:hAnsi="Calibri"/>
                <w:sz w:val="20"/>
              </w:rPr>
              <w:t xml:space="preserve"> N = 75</w:t>
            </w:r>
            <w:r w:rsidRPr="00AE18F8">
              <w:rPr>
                <w:rFonts w:ascii="Calibri" w:hAnsi="Calibri"/>
                <w:i/>
                <w:sz w:val="20"/>
                <w:vertAlign w:val="superscript"/>
              </w:rPr>
              <w:t>1</w:t>
            </w:r>
          </w:p>
        </w:tc>
      </w:tr>
      <w:tr w:rsidR="00AE18F8" w:rsidRPr="00AE18F8" w14:paraId="0DEDFE4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3E" w14:textId="77777777" w:rsidR="00192E91" w:rsidRPr="00AE18F8" w:rsidRDefault="001147A4">
            <w:pPr>
              <w:keepNext/>
              <w:spacing w:after="60"/>
            </w:pPr>
            <w:r w:rsidRPr="00AE18F8">
              <w:rPr>
                <w:rFonts w:ascii="Calibri" w:hAnsi="Calibri"/>
                <w:sz w:val="20"/>
              </w:rPr>
              <w:t>Age at start of regimen</w:t>
            </w:r>
          </w:p>
        </w:tc>
        <w:tc>
          <w:tcPr>
            <w:tcW w:w="0" w:type="auto"/>
            <w:tcBorders>
              <w:top w:val="single" w:sz="0" w:space="0" w:color="D3D3D3"/>
              <w:left w:val="single" w:sz="0" w:space="0" w:color="D3D3D3"/>
              <w:bottom w:val="single" w:sz="0" w:space="0" w:color="D3D3D3"/>
              <w:right w:val="single" w:sz="0" w:space="0" w:color="D3D3D3"/>
            </w:tcBorders>
          </w:tcPr>
          <w:p w14:paraId="0DEDFE3F" w14:textId="77777777" w:rsidR="00192E91" w:rsidRPr="00AE18F8" w:rsidRDefault="001147A4">
            <w:pPr>
              <w:keepNext/>
              <w:spacing w:after="60"/>
              <w:jc w:val="center"/>
            </w:pPr>
            <w:r w:rsidRPr="00AE18F8">
              <w:rPr>
                <w:rFonts w:ascii="Calibri" w:hAnsi="Calibri"/>
                <w:sz w:val="20"/>
              </w:rPr>
              <w:t>66, (9) : 67 (59, 71)</w:t>
            </w:r>
          </w:p>
        </w:tc>
        <w:tc>
          <w:tcPr>
            <w:tcW w:w="0" w:type="auto"/>
            <w:tcBorders>
              <w:top w:val="single" w:sz="0" w:space="0" w:color="D3D3D3"/>
              <w:left w:val="single" w:sz="0" w:space="0" w:color="D3D3D3"/>
              <w:bottom w:val="single" w:sz="0" w:space="0" w:color="D3D3D3"/>
              <w:right w:val="single" w:sz="0" w:space="0" w:color="D3D3D3"/>
            </w:tcBorders>
          </w:tcPr>
          <w:p w14:paraId="0DEDFE40" w14:textId="77777777" w:rsidR="00192E91" w:rsidRPr="00AE18F8" w:rsidRDefault="001147A4">
            <w:pPr>
              <w:keepNext/>
              <w:spacing w:after="60"/>
              <w:jc w:val="center"/>
            </w:pPr>
            <w:r w:rsidRPr="00AE18F8">
              <w:rPr>
                <w:rFonts w:ascii="Calibri" w:hAnsi="Calibri"/>
                <w:sz w:val="20"/>
              </w:rPr>
              <w:t>62, (10) : 63 (57, 68)</w:t>
            </w:r>
          </w:p>
        </w:tc>
      </w:tr>
      <w:tr w:rsidR="00AE18F8" w:rsidRPr="00AE18F8" w14:paraId="0DEDFE43" w14:textId="77777777">
        <w:trPr>
          <w:cantSplit/>
          <w:jc w:val="center"/>
        </w:trPr>
        <w:tc>
          <w:tcPr>
            <w:tcW w:w="0" w:type="auto"/>
            <w:gridSpan w:val="3"/>
          </w:tcPr>
          <w:p w14:paraId="0DEDFE42" w14:textId="77777777" w:rsidR="00192E91" w:rsidRPr="00AE18F8" w:rsidRDefault="001147A4">
            <w:pPr>
              <w:keepNext/>
              <w:spacing w:after="60"/>
            </w:pPr>
            <w:r w:rsidRPr="00AE18F8">
              <w:rPr>
                <w:rFonts w:ascii="Calibri" w:hAnsi="Calibri"/>
                <w:i/>
                <w:sz w:val="20"/>
                <w:vertAlign w:val="superscript"/>
              </w:rPr>
              <w:t>1</w:t>
            </w:r>
            <w:r w:rsidRPr="00AE18F8">
              <w:rPr>
                <w:rFonts w:ascii="Calibri" w:hAnsi="Calibri"/>
                <w:sz w:val="20"/>
              </w:rPr>
              <w:t>Mean, (SD</w:t>
            </w:r>
            <w:proofErr w:type="gramStart"/>
            <w:r w:rsidRPr="00AE18F8">
              <w:rPr>
                <w:rFonts w:ascii="Calibri" w:hAnsi="Calibri"/>
                <w:sz w:val="20"/>
              </w:rPr>
              <w:t>) :</w:t>
            </w:r>
            <w:proofErr w:type="gramEnd"/>
            <w:r w:rsidRPr="00AE18F8">
              <w:rPr>
                <w:rFonts w:ascii="Calibri" w:hAnsi="Calibri"/>
                <w:sz w:val="20"/>
              </w:rPr>
              <w:t xml:space="preserve"> Median (Q1, Q3)</w:t>
            </w:r>
          </w:p>
        </w:tc>
      </w:tr>
    </w:tbl>
    <w:tbl>
      <w:tblPr>
        <w:tblStyle w:val="Table"/>
        <w:tblW w:w="5000" w:type="pct"/>
        <w:tblLayout w:type="fixed"/>
        <w:tblLook w:val="0000" w:firstRow="0" w:lastRow="0" w:firstColumn="0" w:lastColumn="0" w:noHBand="0" w:noVBand="0"/>
      </w:tblPr>
      <w:tblGrid>
        <w:gridCol w:w="9360"/>
      </w:tblGrid>
      <w:tr w:rsidR="00AE18F8" w:rsidRPr="00AE18F8" w14:paraId="0DEDFE48" w14:textId="77777777">
        <w:tc>
          <w:tcPr>
            <w:tcW w:w="7920" w:type="dxa"/>
          </w:tcPr>
          <w:p w14:paraId="0DEDFE44" w14:textId="77777777" w:rsidR="00192E91" w:rsidRPr="00AE18F8" w:rsidRDefault="001147A4">
            <w:pPr>
              <w:pStyle w:val="ImageCaption"/>
              <w:spacing w:before="200"/>
            </w:pPr>
            <w:bookmarkStart w:id="49" w:name="tbl-age-dist-ch2"/>
            <w:r w:rsidRPr="00AE18F8">
              <w:t>Table 10: Mean age, standard deviation, median age and IQR of patients who have received venetoclax with ibrutinib, split by gender</w:t>
            </w:r>
          </w:p>
          <w:bookmarkEnd w:id="49"/>
          <w:p w14:paraId="0DEDFE47" w14:textId="77777777" w:rsidR="00192E91" w:rsidRPr="00AE18F8" w:rsidRDefault="00192E91"/>
        </w:tc>
      </w:tr>
      <w:tr w:rsidR="00AE18F8" w:rsidRPr="00AE18F8" w14:paraId="0DEDFE4B" w14:textId="77777777">
        <w:tc>
          <w:tcPr>
            <w:tcW w:w="7920" w:type="dxa"/>
          </w:tcPr>
          <w:p w14:paraId="0DEDFE49" w14:textId="77777777" w:rsidR="00192E91" w:rsidRPr="00AE18F8" w:rsidRDefault="001147A4">
            <w:pPr>
              <w:pStyle w:val="Compact"/>
              <w:jc w:val="center"/>
            </w:pPr>
            <w:bookmarkStart w:id="50" w:name="fig-age-dist-ch2"/>
            <w:r w:rsidRPr="00AE18F8">
              <w:rPr>
                <w:noProof/>
              </w:rPr>
              <w:drawing>
                <wp:inline distT="0" distB="0" distL="0" distR="0" wp14:anchorId="0DEDFF57" wp14:editId="0DEDFF58">
                  <wp:extent cx="4620126" cy="3696101"/>
                  <wp:effectExtent l="0" t="0" r="0" b="0"/>
                  <wp:docPr id="100" name="Picture" title="A histogram showing age distribution for individuals who have received venetoclax with ibrutinib"/>
                  <wp:cNvGraphicFramePr/>
                  <a:graphic xmlns:a="http://schemas.openxmlformats.org/drawingml/2006/main">
                    <a:graphicData uri="http://schemas.openxmlformats.org/drawingml/2006/picture">
                      <pic:pic xmlns:pic="http://schemas.openxmlformats.org/drawingml/2006/picture">
                        <pic:nvPicPr>
                          <pic:cNvPr id="101" name="Picture" descr="ID6232_veno_veni_cll_monthly._ss_files/figure-docx/fig-age-dist-ch2-1.png"/>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p w14:paraId="0DEDFE4A" w14:textId="6314DEAB" w:rsidR="00192E91" w:rsidRPr="00AE18F8" w:rsidRDefault="001147A4">
            <w:pPr>
              <w:pStyle w:val="ImageCaption"/>
              <w:spacing w:before="200"/>
            </w:pPr>
            <w:r w:rsidRPr="00AE18F8">
              <w:t>Figure 1</w:t>
            </w:r>
            <w:r w:rsidR="00B51A40" w:rsidRPr="00AE18F8">
              <w:t>3</w:t>
            </w:r>
            <w:r w:rsidRPr="00AE18F8">
              <w:t>: Age distribution of patients who have received venetoclax with ibrutinib</w:t>
            </w:r>
          </w:p>
        </w:tc>
        <w:bookmarkEnd w:id="50"/>
      </w:tr>
    </w:tbl>
    <w:p w14:paraId="0DEDFE4C" w14:textId="77777777" w:rsidR="00192E91" w:rsidRPr="00AE18F8" w:rsidRDefault="001147A4">
      <w:r w:rsidRPr="00AE18F8">
        <w:br w:type="page"/>
      </w:r>
    </w:p>
    <w:p w14:paraId="0DEDFE4D" w14:textId="77777777" w:rsidR="00192E91" w:rsidRPr="00AE18F8" w:rsidRDefault="001147A4">
      <w:pPr>
        <w:pStyle w:val="Heading3"/>
        <w:rPr>
          <w:color w:val="auto"/>
        </w:rPr>
      </w:pPr>
      <w:bookmarkStart w:id="51" w:name="overall-survival-1"/>
      <w:bookmarkEnd w:id="48"/>
      <w:r w:rsidRPr="00AE18F8">
        <w:rPr>
          <w:color w:val="auto"/>
        </w:rPr>
        <w:lastRenderedPageBreak/>
        <w:t>Overall survival</w:t>
      </w:r>
    </w:p>
    <w:p w14:paraId="0DEDFE4E" w14:textId="77777777" w:rsidR="00192E91" w:rsidRPr="00AE18F8" w:rsidRDefault="001147A4">
      <w:pPr>
        <w:pStyle w:val="Heading4"/>
        <w:rPr>
          <w:color w:val="auto"/>
        </w:rPr>
      </w:pPr>
      <w:bookmarkStart w:id="52" w:name="base-k-m-plot-1"/>
      <w:r w:rsidRPr="00AE18F8">
        <w:rPr>
          <w:color w:val="auto"/>
        </w:rPr>
        <w:t>Base K-M plot</w:t>
      </w:r>
    </w:p>
    <w:p w14:paraId="0DEDFE4F" w14:textId="77777777" w:rsidR="00192E91" w:rsidRPr="00AE18F8" w:rsidRDefault="001147A4">
      <w:pPr>
        <w:pStyle w:val="FirstParagraph"/>
      </w:pPr>
      <w:r w:rsidRPr="00AE18F8">
        <w:t>The Kaplan-Meier plot below shows survival over time for those receiving a VenI treatment regimen.</w:t>
      </w:r>
    </w:p>
    <w:p w14:paraId="0DEDFE50" w14:textId="77777777" w:rsidR="00192E91" w:rsidRPr="00AE18F8" w:rsidRDefault="001147A4">
      <w:pPr>
        <w:pStyle w:val="BodyText"/>
      </w:pPr>
      <w:r w:rsidRPr="00AE18F8">
        <w:t>Median survival was not reached. Restricted mean survival (over the whole curve) was 27.26 months. The minimum follow-up time was 4.3 months, median 19.4 months, and maximum follow-up time of 28 months.</w:t>
      </w:r>
    </w:p>
    <w:tbl>
      <w:tblPr>
        <w:tblStyle w:val="Table"/>
        <w:tblW w:w="5000" w:type="pct"/>
        <w:tblLayout w:type="fixed"/>
        <w:tblLook w:val="0020" w:firstRow="1" w:lastRow="0" w:firstColumn="0" w:lastColumn="0" w:noHBand="0" w:noVBand="0"/>
      </w:tblPr>
      <w:tblGrid>
        <w:gridCol w:w="9360"/>
      </w:tblGrid>
      <w:tr w:rsidR="00AE18F8" w:rsidRPr="00AE18F8" w14:paraId="0DEDFE53"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E51" w14:textId="77777777" w:rsidR="00192E91" w:rsidRPr="00AE18F8" w:rsidRDefault="001147A4">
            <w:pPr>
              <w:pStyle w:val="Compact"/>
              <w:jc w:val="center"/>
            </w:pPr>
            <w:bookmarkStart w:id="53" w:name="fig-km-ch2"/>
            <w:r w:rsidRPr="00AE18F8">
              <w:rPr>
                <w:noProof/>
              </w:rPr>
              <w:drawing>
                <wp:inline distT="0" distB="0" distL="0" distR="0" wp14:anchorId="0DEDFF59" wp14:editId="0DEDFF5A">
                  <wp:extent cx="5943600" cy="3657600"/>
                  <wp:effectExtent l="0" t="0" r="0" b="0"/>
                  <wp:docPr id="105" name="Picture" title="A Kaplan-Meier plot showing overall survival over time for individuals who have received venetoclax with ibrutinib"/>
                  <wp:cNvGraphicFramePr/>
                  <a:graphic xmlns:a="http://schemas.openxmlformats.org/drawingml/2006/main">
                    <a:graphicData uri="http://schemas.openxmlformats.org/drawingml/2006/picture">
                      <pic:pic xmlns:pic="http://schemas.openxmlformats.org/drawingml/2006/picture">
                        <pic:nvPicPr>
                          <pic:cNvPr id="106" name="Picture" descr="ID6232_veno_veni_cll_monthly._ss_files/figure-docx/fig-km-ch2-1.png"/>
                          <pic:cNvPicPr>
                            <a:picLocks noChangeAspect="1" noChangeArrowheads="1"/>
                          </pic:cNvPicPr>
                        </pic:nvPicPr>
                        <pic:blipFill>
                          <a:blip r:embed="rId20"/>
                          <a:stretch>
                            <a:fillRect/>
                          </a:stretch>
                        </pic:blipFill>
                        <pic:spPr bwMode="auto">
                          <a:xfrm>
                            <a:off x="0" y="0"/>
                            <a:ext cx="5943600" cy="3657600"/>
                          </a:xfrm>
                          <a:prstGeom prst="rect">
                            <a:avLst/>
                          </a:prstGeom>
                          <a:noFill/>
                          <a:ln w="9525">
                            <a:noFill/>
                            <a:headEnd/>
                            <a:tailEnd/>
                          </a:ln>
                        </pic:spPr>
                      </pic:pic>
                    </a:graphicData>
                  </a:graphic>
                </wp:inline>
              </w:drawing>
            </w:r>
          </w:p>
          <w:p w14:paraId="0DEDFE52" w14:textId="4C327D5F" w:rsidR="00192E91" w:rsidRPr="00AE18F8" w:rsidRDefault="001147A4">
            <w:pPr>
              <w:pStyle w:val="ImageCaption"/>
              <w:spacing w:before="200"/>
            </w:pPr>
            <w:r w:rsidRPr="00AE18F8">
              <w:t>Figure 1</w:t>
            </w:r>
            <w:r w:rsidR="00571539" w:rsidRPr="00AE18F8">
              <w:t>4</w:t>
            </w:r>
            <w:r w:rsidRPr="00AE18F8">
              <w:t>: Overall survival amongst patients who have received venetoclax with ibrutinib</w:t>
            </w:r>
          </w:p>
        </w:tc>
        <w:bookmarkEnd w:id="53"/>
      </w:tr>
    </w:tbl>
    <w:p w14:paraId="0DEDFE54" w14:textId="77777777" w:rsidR="00192E91" w:rsidRPr="00AE18F8" w:rsidRDefault="001147A4">
      <w:r w:rsidRPr="00AE18F8">
        <w:br w:type="page"/>
      </w:r>
    </w:p>
    <w:p w14:paraId="0DEDFE55" w14:textId="77777777" w:rsidR="00192E91" w:rsidRPr="00AE18F8" w:rsidRDefault="001147A4">
      <w:pPr>
        <w:pStyle w:val="Heading4"/>
        <w:rPr>
          <w:color w:val="auto"/>
        </w:rPr>
      </w:pPr>
      <w:bookmarkStart w:id="54" w:name="exponential-1"/>
      <w:bookmarkEnd w:id="52"/>
      <w:r w:rsidRPr="00AE18F8">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AE18F8" w:rsidRPr="00AE18F8" w14:paraId="0DEDFE58"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E56" w14:textId="77777777" w:rsidR="00192E91" w:rsidRPr="00AE18F8" w:rsidRDefault="001147A4">
            <w:pPr>
              <w:pStyle w:val="Compact"/>
              <w:jc w:val="center"/>
            </w:pPr>
            <w:bookmarkStart w:id="55" w:name="fig-km_exp-ch2"/>
            <w:r w:rsidRPr="00AE18F8">
              <w:rPr>
                <w:noProof/>
              </w:rPr>
              <w:drawing>
                <wp:inline distT="0" distB="0" distL="0" distR="0" wp14:anchorId="0DEDFF5B" wp14:editId="0DEDFF5C">
                  <wp:extent cx="5943600" cy="3657600"/>
                  <wp:effectExtent l="0" t="0" r="0" b="0"/>
                  <wp:docPr id="110" name="Picture" title="A Kaplan-Meier plot showing overall survival over time for individuals who have received venetoclax with ibrutinib, with an overlaid exponential model fit."/>
                  <wp:cNvGraphicFramePr/>
                  <a:graphic xmlns:a="http://schemas.openxmlformats.org/drawingml/2006/main">
                    <a:graphicData uri="http://schemas.openxmlformats.org/drawingml/2006/picture">
                      <pic:pic xmlns:pic="http://schemas.openxmlformats.org/drawingml/2006/picture">
                        <pic:nvPicPr>
                          <pic:cNvPr id="111" name="Picture" descr="ID6232_veno_veni_cll_monthly._ss_files/figure-docx/fig-km_exp-ch2-1.png"/>
                          <pic:cNvPicPr>
                            <a:picLocks noChangeAspect="1" noChangeArrowheads="1"/>
                          </pic:cNvPicPr>
                        </pic:nvPicPr>
                        <pic:blipFill>
                          <a:blip r:embed="rId21"/>
                          <a:stretch>
                            <a:fillRect/>
                          </a:stretch>
                        </pic:blipFill>
                        <pic:spPr bwMode="auto">
                          <a:xfrm>
                            <a:off x="0" y="0"/>
                            <a:ext cx="5943600" cy="3657600"/>
                          </a:xfrm>
                          <a:prstGeom prst="rect">
                            <a:avLst/>
                          </a:prstGeom>
                          <a:noFill/>
                          <a:ln w="9525">
                            <a:noFill/>
                            <a:headEnd/>
                            <a:tailEnd/>
                          </a:ln>
                        </pic:spPr>
                      </pic:pic>
                    </a:graphicData>
                  </a:graphic>
                </wp:inline>
              </w:drawing>
            </w:r>
          </w:p>
          <w:p w14:paraId="0DEDFE57" w14:textId="785587A8" w:rsidR="00192E91" w:rsidRPr="00AE18F8" w:rsidRDefault="001147A4">
            <w:pPr>
              <w:pStyle w:val="ImageCaption"/>
              <w:spacing w:before="200"/>
            </w:pPr>
            <w:r w:rsidRPr="00AE18F8">
              <w:t>Figure 1</w:t>
            </w:r>
            <w:r w:rsidR="002943AD" w:rsidRPr="00AE18F8">
              <w:t>5</w:t>
            </w:r>
            <w:r w:rsidRPr="00AE18F8">
              <w:t>: Overall survival against exponential survival function</w:t>
            </w:r>
          </w:p>
        </w:tc>
        <w:bookmarkEnd w:id="55"/>
      </w:tr>
    </w:tbl>
    <w:p w14:paraId="0DEDFE59"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779"/>
        <w:gridCol w:w="1244"/>
      </w:tblGrid>
      <w:tr w:rsidR="00AE18F8" w:rsidRPr="00AE18F8" w14:paraId="0DEDFE5F" w14:textId="77777777">
        <w:trPr>
          <w:cantSplit/>
          <w:tblHeader/>
          <w:jc w:val="center"/>
        </w:trPr>
        <w:tc>
          <w:tcPr>
            <w:tcW w:w="0" w:type="auto"/>
            <w:tcBorders>
              <w:top w:val="single" w:sz="16" w:space="0" w:color="D3D3D3"/>
              <w:left w:val="single" w:sz="0" w:space="0" w:color="D3D3D3"/>
              <w:bottom w:val="single" w:sz="16" w:space="0" w:color="D3D3D3"/>
            </w:tcBorders>
          </w:tcPr>
          <w:p w14:paraId="0DEDFE5A"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5B"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5C"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5D"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E5E" w14:textId="77777777" w:rsidR="00192E91" w:rsidRPr="00AE18F8" w:rsidRDefault="001147A4">
            <w:pPr>
              <w:keepNext/>
              <w:spacing w:after="60"/>
              <w:jc w:val="right"/>
            </w:pPr>
            <w:r w:rsidRPr="00AE18F8">
              <w:rPr>
                <w:rFonts w:ascii="Calibri" w:hAnsi="Calibri"/>
                <w:sz w:val="20"/>
              </w:rPr>
              <w:t>p-value</w:t>
            </w:r>
          </w:p>
        </w:tc>
      </w:tr>
      <w:tr w:rsidR="00AE18F8" w:rsidRPr="00AE18F8" w14:paraId="0DEDFE6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60"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E61" w14:textId="77777777" w:rsidR="00192E91" w:rsidRPr="00AE18F8" w:rsidRDefault="001147A4">
            <w:pPr>
              <w:keepNext/>
              <w:spacing w:after="60"/>
              <w:jc w:val="right"/>
            </w:pPr>
            <w:r w:rsidRPr="00AE18F8">
              <w:rPr>
                <w:rFonts w:ascii="Calibri" w:hAnsi="Calibri"/>
                <w:sz w:val="20"/>
              </w:rPr>
              <w:t>6.201</w:t>
            </w:r>
          </w:p>
        </w:tc>
        <w:tc>
          <w:tcPr>
            <w:tcW w:w="0" w:type="auto"/>
            <w:tcBorders>
              <w:top w:val="single" w:sz="0" w:space="0" w:color="D3D3D3"/>
              <w:left w:val="single" w:sz="0" w:space="0" w:color="D3D3D3"/>
              <w:bottom w:val="single" w:sz="0" w:space="0" w:color="D3D3D3"/>
              <w:right w:val="single" w:sz="0" w:space="0" w:color="D3D3D3"/>
            </w:tcBorders>
          </w:tcPr>
          <w:p w14:paraId="0DEDFE62" w14:textId="77777777" w:rsidR="00192E91" w:rsidRPr="00AE18F8" w:rsidRDefault="001147A4">
            <w:pPr>
              <w:keepNext/>
              <w:spacing w:after="60"/>
              <w:jc w:val="right"/>
            </w:pPr>
            <w:r w:rsidRPr="00AE18F8">
              <w:rPr>
                <w:rFonts w:ascii="Calibri" w:hAnsi="Calibri"/>
                <w:sz w:val="20"/>
              </w:rPr>
              <w:t>0.500</w:t>
            </w:r>
          </w:p>
        </w:tc>
        <w:tc>
          <w:tcPr>
            <w:tcW w:w="0" w:type="auto"/>
            <w:tcBorders>
              <w:top w:val="single" w:sz="0" w:space="0" w:color="D3D3D3"/>
              <w:left w:val="single" w:sz="0" w:space="0" w:color="D3D3D3"/>
              <w:bottom w:val="single" w:sz="0" w:space="0" w:color="D3D3D3"/>
              <w:right w:val="single" w:sz="0" w:space="0" w:color="D3D3D3"/>
            </w:tcBorders>
          </w:tcPr>
          <w:p w14:paraId="0DEDFE63" w14:textId="77777777" w:rsidR="00192E91" w:rsidRPr="00AE18F8" w:rsidRDefault="001147A4">
            <w:pPr>
              <w:keepNext/>
              <w:spacing w:after="60"/>
              <w:jc w:val="right"/>
            </w:pPr>
            <w:r w:rsidRPr="00AE18F8">
              <w:rPr>
                <w:rFonts w:ascii="Calibri" w:hAnsi="Calibri"/>
                <w:sz w:val="20"/>
              </w:rPr>
              <w:t>12.4024</w:t>
            </w:r>
          </w:p>
        </w:tc>
        <w:tc>
          <w:tcPr>
            <w:tcW w:w="0" w:type="auto"/>
            <w:tcBorders>
              <w:top w:val="single" w:sz="0" w:space="0" w:color="D3D3D3"/>
              <w:left w:val="single" w:sz="0" w:space="0" w:color="D3D3D3"/>
              <w:bottom w:val="single" w:sz="0" w:space="0" w:color="D3D3D3"/>
              <w:right w:val="single" w:sz="0" w:space="0" w:color="D3D3D3"/>
            </w:tcBorders>
          </w:tcPr>
          <w:p w14:paraId="0DEDFE64" w14:textId="77777777" w:rsidR="00192E91" w:rsidRPr="00AE18F8" w:rsidRDefault="001147A4">
            <w:pPr>
              <w:keepNext/>
              <w:spacing w:after="60"/>
              <w:jc w:val="right"/>
            </w:pPr>
            <w:r w:rsidRPr="00AE18F8">
              <w:rPr>
                <w:rFonts w:ascii="Calibri" w:hAnsi="Calibri"/>
                <w:sz w:val="20"/>
              </w:rPr>
              <w:t>2.536054e-35</w:t>
            </w:r>
          </w:p>
        </w:tc>
      </w:tr>
      <w:tr w:rsidR="00AE18F8" w:rsidRPr="00AE18F8" w14:paraId="0DEDFE67" w14:textId="77777777">
        <w:trPr>
          <w:cantSplit/>
          <w:jc w:val="center"/>
        </w:trPr>
        <w:tc>
          <w:tcPr>
            <w:tcW w:w="0" w:type="auto"/>
            <w:gridSpan w:val="5"/>
          </w:tcPr>
          <w:p w14:paraId="0DEDFE66" w14:textId="77777777" w:rsidR="00192E91" w:rsidRPr="00AE18F8" w:rsidRDefault="001147A4">
            <w:pPr>
              <w:keepNext/>
              <w:spacing w:after="60"/>
            </w:pPr>
            <w:r w:rsidRPr="00AE18F8">
              <w:rPr>
                <w:rFonts w:ascii="Calibri" w:hAnsi="Calibri"/>
                <w:sz w:val="20"/>
              </w:rPr>
              <w:t>log-likelihood = -28.8048041333728</w:t>
            </w:r>
          </w:p>
        </w:tc>
      </w:tr>
      <w:tr w:rsidR="00AE18F8" w:rsidRPr="00AE18F8" w14:paraId="0DEDFE69" w14:textId="77777777">
        <w:trPr>
          <w:cantSplit/>
          <w:jc w:val="center"/>
        </w:trPr>
        <w:tc>
          <w:tcPr>
            <w:tcW w:w="0" w:type="auto"/>
            <w:gridSpan w:val="5"/>
          </w:tcPr>
          <w:p w14:paraId="0DEDFE68" w14:textId="77777777" w:rsidR="00192E91" w:rsidRPr="00AE18F8" w:rsidRDefault="001147A4">
            <w:pPr>
              <w:keepNext/>
              <w:spacing w:after="60"/>
            </w:pPr>
            <w:r w:rsidRPr="00AE18F8">
              <w:rPr>
                <w:rFonts w:ascii="Calibri" w:hAnsi="Calibri"/>
                <w:sz w:val="20"/>
              </w:rPr>
              <w:t>AIC = 59.6096082667456</w:t>
            </w:r>
          </w:p>
        </w:tc>
      </w:tr>
      <w:tr w:rsidR="00AE18F8" w:rsidRPr="00AE18F8" w14:paraId="0DEDFE6B" w14:textId="77777777">
        <w:trPr>
          <w:cantSplit/>
          <w:jc w:val="center"/>
        </w:trPr>
        <w:tc>
          <w:tcPr>
            <w:tcW w:w="0" w:type="auto"/>
            <w:gridSpan w:val="5"/>
          </w:tcPr>
          <w:p w14:paraId="0DEDFE6A" w14:textId="77777777" w:rsidR="00192E91" w:rsidRPr="00AE18F8" w:rsidRDefault="001147A4">
            <w:pPr>
              <w:keepNext/>
              <w:spacing w:after="60"/>
            </w:pPr>
            <w:r w:rsidRPr="00AE18F8">
              <w:rPr>
                <w:rFonts w:ascii="Calibri" w:hAnsi="Calibri"/>
                <w:sz w:val="20"/>
              </w:rPr>
              <w:t>BIC = 62.2917394938698</w:t>
            </w:r>
          </w:p>
        </w:tc>
      </w:tr>
    </w:tbl>
    <w:tbl>
      <w:tblPr>
        <w:tblStyle w:val="Table"/>
        <w:tblW w:w="5000" w:type="pct"/>
        <w:tblLayout w:type="fixed"/>
        <w:tblLook w:val="0000" w:firstRow="0" w:lastRow="0" w:firstColumn="0" w:lastColumn="0" w:noHBand="0" w:noVBand="0"/>
      </w:tblPr>
      <w:tblGrid>
        <w:gridCol w:w="9360"/>
      </w:tblGrid>
      <w:tr w:rsidR="00AE18F8" w:rsidRPr="00AE18F8" w14:paraId="0DEDFE70" w14:textId="77777777">
        <w:tc>
          <w:tcPr>
            <w:tcW w:w="7920" w:type="dxa"/>
          </w:tcPr>
          <w:p w14:paraId="0DEDFE6C" w14:textId="77777777" w:rsidR="00192E91" w:rsidRPr="00AE18F8" w:rsidRDefault="001147A4">
            <w:pPr>
              <w:pStyle w:val="ImageCaption"/>
              <w:spacing w:before="200"/>
            </w:pPr>
            <w:bookmarkStart w:id="56" w:name="tbl-km-exp-ch2"/>
            <w:r w:rsidRPr="00AE18F8">
              <w:t>Table 11: Survival model fit summary (exponential distribution)</w:t>
            </w:r>
          </w:p>
          <w:bookmarkEnd w:id="56"/>
          <w:p w14:paraId="0DEDFE6F" w14:textId="77777777" w:rsidR="00192E91" w:rsidRPr="00AE18F8" w:rsidRDefault="00192E91"/>
        </w:tc>
      </w:tr>
    </w:tbl>
    <w:p w14:paraId="0DEDFE71" w14:textId="77777777" w:rsidR="00192E91" w:rsidRPr="00AE18F8" w:rsidRDefault="001147A4">
      <w:r w:rsidRPr="00AE18F8">
        <w:br w:type="page"/>
      </w:r>
    </w:p>
    <w:p w14:paraId="0DEDFE72" w14:textId="77777777" w:rsidR="00192E91" w:rsidRPr="00AE18F8" w:rsidRDefault="001147A4">
      <w:pPr>
        <w:pStyle w:val="Heading4"/>
        <w:rPr>
          <w:color w:val="auto"/>
        </w:rPr>
      </w:pPr>
      <w:bookmarkStart w:id="57" w:name="weibull-1"/>
      <w:bookmarkEnd w:id="54"/>
      <w:r w:rsidRPr="00AE18F8">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AE18F8" w:rsidRPr="00AE18F8" w14:paraId="0DEDFE75"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E73" w14:textId="77777777" w:rsidR="00192E91" w:rsidRPr="00AE18F8" w:rsidRDefault="001147A4">
            <w:pPr>
              <w:pStyle w:val="Compact"/>
              <w:jc w:val="center"/>
            </w:pPr>
            <w:bookmarkStart w:id="58" w:name="fig-km-weibull-ch2"/>
            <w:r w:rsidRPr="00AE18F8">
              <w:rPr>
                <w:noProof/>
              </w:rPr>
              <w:drawing>
                <wp:inline distT="0" distB="0" distL="0" distR="0" wp14:anchorId="0DEDFF5D" wp14:editId="0DEDFF5E">
                  <wp:extent cx="5943600" cy="3657600"/>
                  <wp:effectExtent l="0" t="0" r="0" b="0"/>
                  <wp:docPr id="116" name="Picture" title="A Kaplan-Meier plot showing overall survival over time for individuals who have received venetoclax with ibrutinib, with an overlaid Weibull model fit."/>
                  <wp:cNvGraphicFramePr/>
                  <a:graphic xmlns:a="http://schemas.openxmlformats.org/drawingml/2006/main">
                    <a:graphicData uri="http://schemas.openxmlformats.org/drawingml/2006/picture">
                      <pic:pic xmlns:pic="http://schemas.openxmlformats.org/drawingml/2006/picture">
                        <pic:nvPicPr>
                          <pic:cNvPr id="117" name="Picture" descr="ID6232_veno_veni_cll_monthly._ss_files/figure-docx/fig-km-weibull-ch2-1.png"/>
                          <pic:cNvPicPr>
                            <a:picLocks noChangeAspect="1" noChangeArrowheads="1"/>
                          </pic:cNvPicPr>
                        </pic:nvPicPr>
                        <pic:blipFill>
                          <a:blip r:embed="rId22"/>
                          <a:stretch>
                            <a:fillRect/>
                          </a:stretch>
                        </pic:blipFill>
                        <pic:spPr bwMode="auto">
                          <a:xfrm>
                            <a:off x="0" y="0"/>
                            <a:ext cx="5943600" cy="3657600"/>
                          </a:xfrm>
                          <a:prstGeom prst="rect">
                            <a:avLst/>
                          </a:prstGeom>
                          <a:noFill/>
                          <a:ln w="9525">
                            <a:noFill/>
                            <a:headEnd/>
                            <a:tailEnd/>
                          </a:ln>
                        </pic:spPr>
                      </pic:pic>
                    </a:graphicData>
                  </a:graphic>
                </wp:inline>
              </w:drawing>
            </w:r>
          </w:p>
          <w:p w14:paraId="0DEDFE74" w14:textId="7AD04EFD" w:rsidR="00192E91" w:rsidRPr="00AE18F8" w:rsidRDefault="001147A4">
            <w:pPr>
              <w:pStyle w:val="ImageCaption"/>
              <w:spacing w:before="200"/>
            </w:pPr>
            <w:r w:rsidRPr="00AE18F8">
              <w:t>Figure 1</w:t>
            </w:r>
            <w:r w:rsidR="002943AD" w:rsidRPr="00AE18F8">
              <w:t>6</w:t>
            </w:r>
            <w:r w:rsidRPr="00AE18F8">
              <w:t>: Overall survival against Weibull survival function</w:t>
            </w:r>
          </w:p>
        </w:tc>
        <w:bookmarkEnd w:id="58"/>
      </w:tr>
    </w:tbl>
    <w:p w14:paraId="0DEDFE76"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43"/>
        <w:gridCol w:w="1244"/>
      </w:tblGrid>
      <w:tr w:rsidR="00AE18F8" w:rsidRPr="00AE18F8" w14:paraId="0DEDFE7C" w14:textId="77777777">
        <w:trPr>
          <w:cantSplit/>
          <w:tblHeader/>
          <w:jc w:val="center"/>
        </w:trPr>
        <w:tc>
          <w:tcPr>
            <w:tcW w:w="0" w:type="auto"/>
            <w:tcBorders>
              <w:top w:val="single" w:sz="16" w:space="0" w:color="D3D3D3"/>
              <w:left w:val="single" w:sz="0" w:space="0" w:color="D3D3D3"/>
              <w:bottom w:val="single" w:sz="16" w:space="0" w:color="D3D3D3"/>
            </w:tcBorders>
          </w:tcPr>
          <w:p w14:paraId="0DEDFE77"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78"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79"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7A"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E7B" w14:textId="77777777" w:rsidR="00192E91" w:rsidRPr="00AE18F8" w:rsidRDefault="001147A4">
            <w:pPr>
              <w:keepNext/>
              <w:spacing w:after="60"/>
              <w:jc w:val="right"/>
            </w:pPr>
            <w:r w:rsidRPr="00AE18F8">
              <w:rPr>
                <w:rFonts w:ascii="Calibri" w:hAnsi="Calibri"/>
                <w:sz w:val="20"/>
              </w:rPr>
              <w:t>p-value</w:t>
            </w:r>
          </w:p>
        </w:tc>
      </w:tr>
      <w:tr w:rsidR="00AE18F8" w:rsidRPr="00AE18F8" w14:paraId="0DEDFE8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7D"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E7E" w14:textId="77777777" w:rsidR="00192E91" w:rsidRPr="00AE18F8" w:rsidRDefault="001147A4">
            <w:pPr>
              <w:keepNext/>
              <w:spacing w:after="60"/>
              <w:jc w:val="right"/>
            </w:pPr>
            <w:r w:rsidRPr="00AE18F8">
              <w:rPr>
                <w:rFonts w:ascii="Calibri" w:hAnsi="Calibri"/>
                <w:sz w:val="20"/>
              </w:rPr>
              <w:t>5.683</w:t>
            </w:r>
          </w:p>
        </w:tc>
        <w:tc>
          <w:tcPr>
            <w:tcW w:w="0" w:type="auto"/>
            <w:tcBorders>
              <w:top w:val="single" w:sz="0" w:space="0" w:color="D3D3D3"/>
              <w:left w:val="single" w:sz="0" w:space="0" w:color="D3D3D3"/>
              <w:bottom w:val="single" w:sz="0" w:space="0" w:color="D3D3D3"/>
              <w:right w:val="single" w:sz="0" w:space="0" w:color="D3D3D3"/>
            </w:tcBorders>
          </w:tcPr>
          <w:p w14:paraId="0DEDFE7F" w14:textId="77777777" w:rsidR="00192E91" w:rsidRPr="00AE18F8" w:rsidRDefault="001147A4">
            <w:pPr>
              <w:keepNext/>
              <w:spacing w:after="60"/>
              <w:jc w:val="right"/>
            </w:pPr>
            <w:r w:rsidRPr="00AE18F8">
              <w:rPr>
                <w:rFonts w:ascii="Calibri" w:hAnsi="Calibri"/>
                <w:sz w:val="20"/>
              </w:rPr>
              <w:t>1.319</w:t>
            </w:r>
          </w:p>
        </w:tc>
        <w:tc>
          <w:tcPr>
            <w:tcW w:w="0" w:type="auto"/>
            <w:tcBorders>
              <w:top w:val="single" w:sz="0" w:space="0" w:color="D3D3D3"/>
              <w:left w:val="single" w:sz="0" w:space="0" w:color="D3D3D3"/>
              <w:bottom w:val="single" w:sz="0" w:space="0" w:color="D3D3D3"/>
              <w:right w:val="single" w:sz="0" w:space="0" w:color="D3D3D3"/>
            </w:tcBorders>
          </w:tcPr>
          <w:p w14:paraId="0DEDFE80" w14:textId="77777777" w:rsidR="00192E91" w:rsidRPr="00AE18F8" w:rsidRDefault="001147A4">
            <w:pPr>
              <w:keepNext/>
              <w:spacing w:after="60"/>
              <w:jc w:val="right"/>
            </w:pPr>
            <w:r w:rsidRPr="00AE18F8">
              <w:rPr>
                <w:rFonts w:ascii="Calibri" w:hAnsi="Calibri"/>
                <w:sz w:val="20"/>
              </w:rPr>
              <w:t>4.3091393</w:t>
            </w:r>
          </w:p>
        </w:tc>
        <w:tc>
          <w:tcPr>
            <w:tcW w:w="0" w:type="auto"/>
            <w:tcBorders>
              <w:top w:val="single" w:sz="0" w:space="0" w:color="D3D3D3"/>
              <w:left w:val="single" w:sz="0" w:space="0" w:color="D3D3D3"/>
              <w:bottom w:val="single" w:sz="0" w:space="0" w:color="D3D3D3"/>
              <w:right w:val="single" w:sz="0" w:space="0" w:color="D3D3D3"/>
            </w:tcBorders>
          </w:tcPr>
          <w:p w14:paraId="0DEDFE81" w14:textId="77777777" w:rsidR="00192E91" w:rsidRPr="00AE18F8" w:rsidRDefault="001147A4">
            <w:pPr>
              <w:keepNext/>
              <w:spacing w:after="60"/>
              <w:jc w:val="right"/>
            </w:pPr>
            <w:r w:rsidRPr="00AE18F8">
              <w:rPr>
                <w:rFonts w:ascii="Calibri" w:hAnsi="Calibri"/>
                <w:sz w:val="20"/>
              </w:rPr>
              <w:t>1.638911e-05</w:t>
            </w:r>
          </w:p>
        </w:tc>
      </w:tr>
      <w:tr w:rsidR="00AE18F8" w:rsidRPr="00AE18F8" w14:paraId="0DEDFE8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83"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E84" w14:textId="77777777" w:rsidR="00192E91" w:rsidRPr="00AE18F8" w:rsidRDefault="001147A4">
            <w:pPr>
              <w:keepNext/>
              <w:spacing w:after="60"/>
              <w:jc w:val="right"/>
            </w:pPr>
            <w:r w:rsidRPr="00AE18F8">
              <w:rPr>
                <w:rFonts w:ascii="Calibri" w:hAnsi="Calibri"/>
                <w:sz w:val="20"/>
              </w:rPr>
              <w:t>-0.176</w:t>
            </w:r>
          </w:p>
        </w:tc>
        <w:tc>
          <w:tcPr>
            <w:tcW w:w="0" w:type="auto"/>
            <w:tcBorders>
              <w:top w:val="single" w:sz="0" w:space="0" w:color="D3D3D3"/>
              <w:left w:val="single" w:sz="0" w:space="0" w:color="D3D3D3"/>
              <w:bottom w:val="single" w:sz="0" w:space="0" w:color="D3D3D3"/>
              <w:right w:val="single" w:sz="0" w:space="0" w:color="D3D3D3"/>
            </w:tcBorders>
          </w:tcPr>
          <w:p w14:paraId="0DEDFE85" w14:textId="77777777" w:rsidR="00192E91" w:rsidRPr="00AE18F8" w:rsidRDefault="001147A4">
            <w:pPr>
              <w:keepNext/>
              <w:spacing w:after="60"/>
              <w:jc w:val="right"/>
            </w:pPr>
            <w:r w:rsidRPr="00AE18F8">
              <w:rPr>
                <w:rFonts w:ascii="Calibri" w:hAnsi="Calibri"/>
                <w:sz w:val="20"/>
              </w:rPr>
              <w:t>0.466</w:t>
            </w:r>
          </w:p>
        </w:tc>
        <w:tc>
          <w:tcPr>
            <w:tcW w:w="0" w:type="auto"/>
            <w:tcBorders>
              <w:top w:val="single" w:sz="0" w:space="0" w:color="D3D3D3"/>
              <w:left w:val="single" w:sz="0" w:space="0" w:color="D3D3D3"/>
              <w:bottom w:val="single" w:sz="0" w:space="0" w:color="D3D3D3"/>
              <w:right w:val="single" w:sz="0" w:space="0" w:color="D3D3D3"/>
            </w:tcBorders>
          </w:tcPr>
          <w:p w14:paraId="0DEDFE86" w14:textId="77777777" w:rsidR="00192E91" w:rsidRPr="00AE18F8" w:rsidRDefault="001147A4">
            <w:pPr>
              <w:keepNext/>
              <w:spacing w:after="60"/>
              <w:jc w:val="right"/>
            </w:pPr>
            <w:r w:rsidRPr="00AE18F8">
              <w:rPr>
                <w:rFonts w:ascii="Calibri" w:hAnsi="Calibri"/>
                <w:sz w:val="20"/>
              </w:rPr>
              <w:t>-0.3772957</w:t>
            </w:r>
          </w:p>
        </w:tc>
        <w:tc>
          <w:tcPr>
            <w:tcW w:w="0" w:type="auto"/>
            <w:tcBorders>
              <w:top w:val="single" w:sz="0" w:space="0" w:color="D3D3D3"/>
              <w:left w:val="single" w:sz="0" w:space="0" w:color="D3D3D3"/>
              <w:bottom w:val="single" w:sz="0" w:space="0" w:color="D3D3D3"/>
              <w:right w:val="single" w:sz="0" w:space="0" w:color="D3D3D3"/>
            </w:tcBorders>
          </w:tcPr>
          <w:p w14:paraId="0DEDFE87" w14:textId="77777777" w:rsidR="00192E91" w:rsidRPr="00AE18F8" w:rsidRDefault="001147A4">
            <w:pPr>
              <w:keepNext/>
              <w:spacing w:after="60"/>
              <w:jc w:val="right"/>
            </w:pPr>
            <w:r w:rsidRPr="00AE18F8">
              <w:rPr>
                <w:rFonts w:ascii="Calibri" w:hAnsi="Calibri"/>
                <w:sz w:val="20"/>
              </w:rPr>
              <w:t>7.059539e-01</w:t>
            </w:r>
          </w:p>
        </w:tc>
      </w:tr>
      <w:tr w:rsidR="00AE18F8" w:rsidRPr="00AE18F8" w14:paraId="0DEDFE8A" w14:textId="77777777">
        <w:trPr>
          <w:cantSplit/>
          <w:jc w:val="center"/>
        </w:trPr>
        <w:tc>
          <w:tcPr>
            <w:tcW w:w="0" w:type="auto"/>
            <w:gridSpan w:val="5"/>
          </w:tcPr>
          <w:p w14:paraId="0DEDFE89" w14:textId="77777777" w:rsidR="00192E91" w:rsidRPr="00AE18F8" w:rsidRDefault="001147A4">
            <w:pPr>
              <w:keepNext/>
              <w:spacing w:after="60"/>
            </w:pPr>
            <w:r w:rsidRPr="00AE18F8">
              <w:rPr>
                <w:rFonts w:ascii="Calibri" w:hAnsi="Calibri"/>
                <w:sz w:val="20"/>
              </w:rPr>
              <w:t>log-likelihood = -28.7383083624217</w:t>
            </w:r>
          </w:p>
        </w:tc>
      </w:tr>
      <w:tr w:rsidR="00AE18F8" w:rsidRPr="00AE18F8" w14:paraId="0DEDFE8C" w14:textId="77777777">
        <w:trPr>
          <w:cantSplit/>
          <w:jc w:val="center"/>
        </w:trPr>
        <w:tc>
          <w:tcPr>
            <w:tcW w:w="0" w:type="auto"/>
            <w:gridSpan w:val="5"/>
          </w:tcPr>
          <w:p w14:paraId="0DEDFE8B" w14:textId="77777777" w:rsidR="00192E91" w:rsidRPr="00AE18F8" w:rsidRDefault="001147A4">
            <w:pPr>
              <w:keepNext/>
              <w:spacing w:after="60"/>
            </w:pPr>
            <w:r w:rsidRPr="00AE18F8">
              <w:rPr>
                <w:rFonts w:ascii="Calibri" w:hAnsi="Calibri"/>
                <w:sz w:val="20"/>
              </w:rPr>
              <w:t>AIC = 61.4766167248434</w:t>
            </w:r>
          </w:p>
        </w:tc>
      </w:tr>
      <w:tr w:rsidR="00AE18F8" w:rsidRPr="00AE18F8" w14:paraId="0DEDFE8E" w14:textId="77777777">
        <w:trPr>
          <w:cantSplit/>
          <w:jc w:val="center"/>
        </w:trPr>
        <w:tc>
          <w:tcPr>
            <w:tcW w:w="0" w:type="auto"/>
            <w:gridSpan w:val="5"/>
          </w:tcPr>
          <w:p w14:paraId="0DEDFE8D" w14:textId="77777777" w:rsidR="00192E91" w:rsidRPr="00AE18F8" w:rsidRDefault="001147A4">
            <w:pPr>
              <w:keepNext/>
              <w:spacing w:after="60"/>
            </w:pPr>
            <w:r w:rsidRPr="00AE18F8">
              <w:rPr>
                <w:rFonts w:ascii="Calibri" w:hAnsi="Calibri"/>
                <w:sz w:val="20"/>
              </w:rPr>
              <w:t>BIC = 66.8408791790919</w:t>
            </w:r>
          </w:p>
        </w:tc>
      </w:tr>
    </w:tbl>
    <w:tbl>
      <w:tblPr>
        <w:tblStyle w:val="Table"/>
        <w:tblW w:w="5000" w:type="pct"/>
        <w:tblLayout w:type="fixed"/>
        <w:tblLook w:val="0000" w:firstRow="0" w:lastRow="0" w:firstColumn="0" w:lastColumn="0" w:noHBand="0" w:noVBand="0"/>
      </w:tblPr>
      <w:tblGrid>
        <w:gridCol w:w="9360"/>
      </w:tblGrid>
      <w:tr w:rsidR="00AE18F8" w:rsidRPr="00AE18F8" w14:paraId="0DEDFE93" w14:textId="77777777">
        <w:tc>
          <w:tcPr>
            <w:tcW w:w="7920" w:type="dxa"/>
          </w:tcPr>
          <w:p w14:paraId="0DEDFE8F" w14:textId="77777777" w:rsidR="00192E91" w:rsidRPr="00AE18F8" w:rsidRDefault="001147A4">
            <w:pPr>
              <w:pStyle w:val="ImageCaption"/>
              <w:spacing w:before="200"/>
            </w:pPr>
            <w:bookmarkStart w:id="59" w:name="tbl-km-weibull-ch2"/>
            <w:r w:rsidRPr="00AE18F8">
              <w:t>Table 12: Survival model fit summary (Weibull distribution)</w:t>
            </w:r>
          </w:p>
          <w:bookmarkEnd w:id="59"/>
          <w:p w14:paraId="0DEDFE92" w14:textId="77777777" w:rsidR="00192E91" w:rsidRPr="00AE18F8" w:rsidRDefault="00192E91"/>
        </w:tc>
      </w:tr>
    </w:tbl>
    <w:p w14:paraId="0DEDFE94" w14:textId="77777777" w:rsidR="00192E91" w:rsidRPr="00AE18F8" w:rsidRDefault="001147A4">
      <w:r w:rsidRPr="00AE18F8">
        <w:br w:type="page"/>
      </w:r>
    </w:p>
    <w:p w14:paraId="0DEDFE95" w14:textId="77777777" w:rsidR="00192E91" w:rsidRPr="00AE18F8" w:rsidRDefault="001147A4">
      <w:pPr>
        <w:pStyle w:val="Heading4"/>
        <w:rPr>
          <w:color w:val="auto"/>
        </w:rPr>
      </w:pPr>
      <w:bookmarkStart w:id="60" w:name="log-normal-1"/>
      <w:bookmarkEnd w:id="57"/>
      <w:r w:rsidRPr="00AE18F8">
        <w:rPr>
          <w:color w:val="auto"/>
        </w:rPr>
        <w:lastRenderedPageBreak/>
        <w:t>Log-normal</w:t>
      </w:r>
    </w:p>
    <w:tbl>
      <w:tblPr>
        <w:tblStyle w:val="Table"/>
        <w:tblW w:w="5000" w:type="pct"/>
        <w:tblLayout w:type="fixed"/>
        <w:tblLook w:val="0000" w:firstRow="0" w:lastRow="0" w:firstColumn="0" w:lastColumn="0" w:noHBand="0" w:noVBand="0"/>
      </w:tblPr>
      <w:tblGrid>
        <w:gridCol w:w="9360"/>
      </w:tblGrid>
      <w:tr w:rsidR="00AE18F8" w:rsidRPr="00AE18F8" w14:paraId="0DEDFE98" w14:textId="77777777" w:rsidTr="003C66C2">
        <w:tc>
          <w:tcPr>
            <w:tcW w:w="7920" w:type="dxa"/>
          </w:tcPr>
          <w:p w14:paraId="0DEDFE96" w14:textId="77777777" w:rsidR="00192E91" w:rsidRPr="00AE18F8" w:rsidRDefault="001147A4">
            <w:pPr>
              <w:pStyle w:val="Compact"/>
              <w:jc w:val="center"/>
            </w:pPr>
            <w:bookmarkStart w:id="61" w:name="fig-km-log_normal-ch2"/>
            <w:r w:rsidRPr="00AE18F8">
              <w:rPr>
                <w:noProof/>
              </w:rPr>
              <w:drawing>
                <wp:inline distT="0" distB="0" distL="0" distR="0" wp14:anchorId="0DEDFF5F" wp14:editId="0DEDFF60">
                  <wp:extent cx="5943600" cy="3657600"/>
                  <wp:effectExtent l="0" t="0" r="0" b="0"/>
                  <wp:docPr id="122" name="Picture" title="A Kaplan-Meier plot showing overall survival over time for individuals who have received venetoclax with ibrutinib, with an overlaid Log-normal model fit."/>
                  <wp:cNvGraphicFramePr/>
                  <a:graphic xmlns:a="http://schemas.openxmlformats.org/drawingml/2006/main">
                    <a:graphicData uri="http://schemas.openxmlformats.org/drawingml/2006/picture">
                      <pic:pic xmlns:pic="http://schemas.openxmlformats.org/drawingml/2006/picture">
                        <pic:nvPicPr>
                          <pic:cNvPr id="123" name="Picture" descr="ID6232_veno_veni_cll_monthly._ss_files/figure-docx/fig-km-log_normal-ch2-1.png"/>
                          <pic:cNvPicPr>
                            <a:picLocks noChangeAspect="1" noChangeArrowheads="1"/>
                          </pic:cNvPicPr>
                        </pic:nvPicPr>
                        <pic:blipFill>
                          <a:blip r:embed="rId23"/>
                          <a:stretch>
                            <a:fillRect/>
                          </a:stretch>
                        </pic:blipFill>
                        <pic:spPr bwMode="auto">
                          <a:xfrm>
                            <a:off x="0" y="0"/>
                            <a:ext cx="5943600" cy="3657600"/>
                          </a:xfrm>
                          <a:prstGeom prst="rect">
                            <a:avLst/>
                          </a:prstGeom>
                          <a:noFill/>
                          <a:ln w="9525">
                            <a:noFill/>
                            <a:headEnd/>
                            <a:tailEnd/>
                          </a:ln>
                        </pic:spPr>
                      </pic:pic>
                    </a:graphicData>
                  </a:graphic>
                </wp:inline>
              </w:drawing>
            </w:r>
          </w:p>
          <w:p w14:paraId="0DEDFE97" w14:textId="716A2D25" w:rsidR="00192E91" w:rsidRPr="00AE18F8" w:rsidRDefault="001147A4">
            <w:pPr>
              <w:pStyle w:val="ImageCaption"/>
              <w:spacing w:before="200"/>
            </w:pPr>
            <w:r w:rsidRPr="00AE18F8">
              <w:t>Figure 1</w:t>
            </w:r>
            <w:r w:rsidR="002943AD" w:rsidRPr="00AE18F8">
              <w:t>7</w:t>
            </w:r>
            <w:r w:rsidRPr="00AE18F8">
              <w:t>: Overall survival against log-normal survival function</w:t>
            </w:r>
          </w:p>
        </w:tc>
        <w:bookmarkEnd w:id="61"/>
      </w:tr>
    </w:tbl>
    <w:p w14:paraId="0DEDFE99"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244"/>
      </w:tblGrid>
      <w:tr w:rsidR="00AE18F8" w:rsidRPr="00AE18F8" w14:paraId="0DEDFE9F" w14:textId="77777777">
        <w:trPr>
          <w:cantSplit/>
          <w:tblHeader/>
          <w:jc w:val="center"/>
        </w:trPr>
        <w:tc>
          <w:tcPr>
            <w:tcW w:w="0" w:type="auto"/>
            <w:tcBorders>
              <w:top w:val="single" w:sz="16" w:space="0" w:color="D3D3D3"/>
              <w:left w:val="single" w:sz="0" w:space="0" w:color="D3D3D3"/>
              <w:bottom w:val="single" w:sz="16" w:space="0" w:color="D3D3D3"/>
            </w:tcBorders>
          </w:tcPr>
          <w:p w14:paraId="0DEDFE9A"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9B"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9C"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9D"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E9E" w14:textId="77777777" w:rsidR="00192E91" w:rsidRPr="00AE18F8" w:rsidRDefault="001147A4">
            <w:pPr>
              <w:keepNext/>
              <w:spacing w:after="60"/>
              <w:jc w:val="right"/>
            </w:pPr>
            <w:r w:rsidRPr="00AE18F8">
              <w:rPr>
                <w:rFonts w:ascii="Calibri" w:hAnsi="Calibri"/>
                <w:sz w:val="20"/>
              </w:rPr>
              <w:t>p-value</w:t>
            </w:r>
          </w:p>
        </w:tc>
      </w:tr>
      <w:tr w:rsidR="00AE18F8" w:rsidRPr="00AE18F8" w14:paraId="0DEDFEA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A0"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EA1" w14:textId="77777777" w:rsidR="00192E91" w:rsidRPr="00AE18F8" w:rsidRDefault="001147A4">
            <w:pPr>
              <w:keepNext/>
              <w:spacing w:after="60"/>
              <w:jc w:val="right"/>
            </w:pPr>
            <w:r w:rsidRPr="00AE18F8">
              <w:rPr>
                <w:rFonts w:ascii="Calibri" w:hAnsi="Calibri"/>
                <w:sz w:val="20"/>
              </w:rPr>
              <w:t>6.375</w:t>
            </w:r>
          </w:p>
        </w:tc>
        <w:tc>
          <w:tcPr>
            <w:tcW w:w="0" w:type="auto"/>
            <w:tcBorders>
              <w:top w:val="single" w:sz="0" w:space="0" w:color="D3D3D3"/>
              <w:left w:val="single" w:sz="0" w:space="0" w:color="D3D3D3"/>
              <w:bottom w:val="single" w:sz="0" w:space="0" w:color="D3D3D3"/>
              <w:right w:val="single" w:sz="0" w:space="0" w:color="D3D3D3"/>
            </w:tcBorders>
          </w:tcPr>
          <w:p w14:paraId="0DEDFEA2" w14:textId="77777777" w:rsidR="00192E91" w:rsidRPr="00AE18F8" w:rsidRDefault="001147A4">
            <w:pPr>
              <w:keepNext/>
              <w:spacing w:after="60"/>
              <w:jc w:val="right"/>
            </w:pPr>
            <w:r w:rsidRPr="00AE18F8">
              <w:rPr>
                <w:rFonts w:ascii="Calibri" w:hAnsi="Calibri"/>
                <w:sz w:val="20"/>
              </w:rPr>
              <w:t>1.606</w:t>
            </w:r>
          </w:p>
        </w:tc>
        <w:tc>
          <w:tcPr>
            <w:tcW w:w="0" w:type="auto"/>
            <w:tcBorders>
              <w:top w:val="single" w:sz="0" w:space="0" w:color="D3D3D3"/>
              <w:left w:val="single" w:sz="0" w:space="0" w:color="D3D3D3"/>
              <w:bottom w:val="single" w:sz="0" w:space="0" w:color="D3D3D3"/>
              <w:right w:val="single" w:sz="0" w:space="0" w:color="D3D3D3"/>
            </w:tcBorders>
          </w:tcPr>
          <w:p w14:paraId="0DEDFEA3" w14:textId="77777777" w:rsidR="00192E91" w:rsidRPr="00AE18F8" w:rsidRDefault="001147A4">
            <w:pPr>
              <w:keepNext/>
              <w:spacing w:after="60"/>
              <w:jc w:val="right"/>
            </w:pPr>
            <w:r w:rsidRPr="00AE18F8">
              <w:rPr>
                <w:rFonts w:ascii="Calibri" w:hAnsi="Calibri"/>
                <w:sz w:val="20"/>
              </w:rPr>
              <w:t>3.970512</w:t>
            </w:r>
          </w:p>
        </w:tc>
        <w:tc>
          <w:tcPr>
            <w:tcW w:w="0" w:type="auto"/>
            <w:tcBorders>
              <w:top w:val="single" w:sz="0" w:space="0" w:color="D3D3D3"/>
              <w:left w:val="single" w:sz="0" w:space="0" w:color="D3D3D3"/>
              <w:bottom w:val="single" w:sz="0" w:space="0" w:color="D3D3D3"/>
              <w:right w:val="single" w:sz="0" w:space="0" w:color="D3D3D3"/>
            </w:tcBorders>
          </w:tcPr>
          <w:p w14:paraId="0DEDFEA4" w14:textId="77777777" w:rsidR="00192E91" w:rsidRPr="00AE18F8" w:rsidRDefault="001147A4">
            <w:pPr>
              <w:keepNext/>
              <w:spacing w:after="60"/>
              <w:jc w:val="right"/>
            </w:pPr>
            <w:r w:rsidRPr="00AE18F8">
              <w:rPr>
                <w:rFonts w:ascii="Calibri" w:hAnsi="Calibri"/>
                <w:sz w:val="20"/>
              </w:rPr>
              <w:t>7.171839e-05</w:t>
            </w:r>
          </w:p>
        </w:tc>
      </w:tr>
      <w:tr w:rsidR="00AE18F8" w:rsidRPr="00AE18F8" w14:paraId="0DEDFEA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A6"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EA7" w14:textId="77777777" w:rsidR="00192E91" w:rsidRPr="00AE18F8" w:rsidRDefault="001147A4">
            <w:pPr>
              <w:keepNext/>
              <w:spacing w:after="60"/>
              <w:jc w:val="right"/>
            </w:pPr>
            <w:r w:rsidRPr="00AE18F8">
              <w:rPr>
                <w:rFonts w:ascii="Calibri" w:hAnsi="Calibri"/>
                <w:sz w:val="20"/>
              </w:rPr>
              <w:t>0.662</w:t>
            </w:r>
          </w:p>
        </w:tc>
        <w:tc>
          <w:tcPr>
            <w:tcW w:w="0" w:type="auto"/>
            <w:tcBorders>
              <w:top w:val="single" w:sz="0" w:space="0" w:color="D3D3D3"/>
              <w:left w:val="single" w:sz="0" w:space="0" w:color="D3D3D3"/>
              <w:bottom w:val="single" w:sz="0" w:space="0" w:color="D3D3D3"/>
              <w:right w:val="single" w:sz="0" w:space="0" w:color="D3D3D3"/>
            </w:tcBorders>
          </w:tcPr>
          <w:p w14:paraId="0DEDFEA8" w14:textId="77777777" w:rsidR="00192E91" w:rsidRPr="00AE18F8" w:rsidRDefault="001147A4">
            <w:pPr>
              <w:keepNext/>
              <w:spacing w:after="60"/>
              <w:jc w:val="right"/>
            </w:pPr>
            <w:r w:rsidRPr="00AE18F8">
              <w:rPr>
                <w:rFonts w:ascii="Calibri" w:hAnsi="Calibri"/>
                <w:sz w:val="20"/>
              </w:rPr>
              <w:t>0.433</w:t>
            </w:r>
          </w:p>
        </w:tc>
        <w:tc>
          <w:tcPr>
            <w:tcW w:w="0" w:type="auto"/>
            <w:tcBorders>
              <w:top w:val="single" w:sz="0" w:space="0" w:color="D3D3D3"/>
              <w:left w:val="single" w:sz="0" w:space="0" w:color="D3D3D3"/>
              <w:bottom w:val="single" w:sz="0" w:space="0" w:color="D3D3D3"/>
              <w:right w:val="single" w:sz="0" w:space="0" w:color="D3D3D3"/>
            </w:tcBorders>
          </w:tcPr>
          <w:p w14:paraId="0DEDFEA9" w14:textId="77777777" w:rsidR="00192E91" w:rsidRPr="00AE18F8" w:rsidRDefault="001147A4">
            <w:pPr>
              <w:keepNext/>
              <w:spacing w:after="60"/>
              <w:jc w:val="right"/>
            </w:pPr>
            <w:r w:rsidRPr="00AE18F8">
              <w:rPr>
                <w:rFonts w:ascii="Calibri" w:hAnsi="Calibri"/>
                <w:sz w:val="20"/>
              </w:rPr>
              <w:t>1.529804</w:t>
            </w:r>
          </w:p>
        </w:tc>
        <w:tc>
          <w:tcPr>
            <w:tcW w:w="0" w:type="auto"/>
            <w:tcBorders>
              <w:top w:val="single" w:sz="0" w:space="0" w:color="D3D3D3"/>
              <w:left w:val="single" w:sz="0" w:space="0" w:color="D3D3D3"/>
              <w:bottom w:val="single" w:sz="0" w:space="0" w:color="D3D3D3"/>
              <w:right w:val="single" w:sz="0" w:space="0" w:color="D3D3D3"/>
            </w:tcBorders>
          </w:tcPr>
          <w:p w14:paraId="0DEDFEAA" w14:textId="77777777" w:rsidR="00192E91" w:rsidRPr="00AE18F8" w:rsidRDefault="001147A4">
            <w:pPr>
              <w:keepNext/>
              <w:spacing w:after="60"/>
              <w:jc w:val="right"/>
            </w:pPr>
            <w:r w:rsidRPr="00AE18F8">
              <w:rPr>
                <w:rFonts w:ascii="Calibri" w:hAnsi="Calibri"/>
                <w:sz w:val="20"/>
              </w:rPr>
              <w:t>1.260653e-01</w:t>
            </w:r>
          </w:p>
        </w:tc>
      </w:tr>
      <w:tr w:rsidR="00AE18F8" w:rsidRPr="00AE18F8" w14:paraId="0DEDFEAD" w14:textId="77777777">
        <w:trPr>
          <w:cantSplit/>
          <w:jc w:val="center"/>
        </w:trPr>
        <w:tc>
          <w:tcPr>
            <w:tcW w:w="0" w:type="auto"/>
            <w:gridSpan w:val="5"/>
          </w:tcPr>
          <w:p w14:paraId="0DEDFEAC" w14:textId="77777777" w:rsidR="00192E91" w:rsidRPr="00AE18F8" w:rsidRDefault="001147A4">
            <w:pPr>
              <w:keepNext/>
              <w:spacing w:after="60"/>
            </w:pPr>
            <w:r w:rsidRPr="00AE18F8">
              <w:rPr>
                <w:rFonts w:ascii="Calibri" w:hAnsi="Calibri"/>
                <w:sz w:val="20"/>
              </w:rPr>
              <w:t>log-likelihood = -28.5284350897398</w:t>
            </w:r>
          </w:p>
        </w:tc>
      </w:tr>
      <w:tr w:rsidR="00AE18F8" w:rsidRPr="00AE18F8" w14:paraId="0DEDFEAF" w14:textId="77777777">
        <w:trPr>
          <w:cantSplit/>
          <w:jc w:val="center"/>
        </w:trPr>
        <w:tc>
          <w:tcPr>
            <w:tcW w:w="0" w:type="auto"/>
            <w:gridSpan w:val="5"/>
          </w:tcPr>
          <w:p w14:paraId="0DEDFEAE" w14:textId="77777777" w:rsidR="00192E91" w:rsidRPr="00AE18F8" w:rsidRDefault="001147A4">
            <w:pPr>
              <w:keepNext/>
              <w:spacing w:after="60"/>
            </w:pPr>
            <w:r w:rsidRPr="00AE18F8">
              <w:rPr>
                <w:rFonts w:ascii="Calibri" w:hAnsi="Calibri"/>
                <w:sz w:val="20"/>
              </w:rPr>
              <w:t>AIC = 61.0568701794795</w:t>
            </w:r>
          </w:p>
        </w:tc>
      </w:tr>
      <w:tr w:rsidR="00AE18F8" w:rsidRPr="00AE18F8" w14:paraId="0DEDFEB1" w14:textId="77777777">
        <w:trPr>
          <w:cantSplit/>
          <w:jc w:val="center"/>
        </w:trPr>
        <w:tc>
          <w:tcPr>
            <w:tcW w:w="0" w:type="auto"/>
            <w:gridSpan w:val="5"/>
          </w:tcPr>
          <w:p w14:paraId="0DEDFEB0" w14:textId="77777777" w:rsidR="00192E91" w:rsidRPr="00AE18F8" w:rsidRDefault="001147A4">
            <w:pPr>
              <w:keepNext/>
              <w:spacing w:after="60"/>
            </w:pPr>
            <w:r w:rsidRPr="00AE18F8">
              <w:rPr>
                <w:rFonts w:ascii="Calibri" w:hAnsi="Calibri"/>
                <w:sz w:val="20"/>
              </w:rPr>
              <w:t>BIC = 66.421132633728</w:t>
            </w:r>
          </w:p>
        </w:tc>
      </w:tr>
    </w:tbl>
    <w:tbl>
      <w:tblPr>
        <w:tblStyle w:val="Table"/>
        <w:tblW w:w="5000" w:type="pct"/>
        <w:tblLayout w:type="fixed"/>
        <w:tblLook w:val="0000" w:firstRow="0" w:lastRow="0" w:firstColumn="0" w:lastColumn="0" w:noHBand="0" w:noVBand="0"/>
      </w:tblPr>
      <w:tblGrid>
        <w:gridCol w:w="9360"/>
      </w:tblGrid>
      <w:tr w:rsidR="00AE18F8" w:rsidRPr="00AE18F8" w14:paraId="0DEDFEB6" w14:textId="77777777">
        <w:tc>
          <w:tcPr>
            <w:tcW w:w="7920" w:type="dxa"/>
          </w:tcPr>
          <w:p w14:paraId="0DEDFEB2" w14:textId="77777777" w:rsidR="00192E91" w:rsidRPr="00AE18F8" w:rsidRDefault="001147A4">
            <w:pPr>
              <w:pStyle w:val="ImageCaption"/>
              <w:spacing w:before="200"/>
            </w:pPr>
            <w:bookmarkStart w:id="62" w:name="tbl-km-log_normal-ch2"/>
            <w:r w:rsidRPr="00AE18F8">
              <w:t>Table 13: Survival model fit summary (log-normal distribution)</w:t>
            </w:r>
          </w:p>
          <w:bookmarkEnd w:id="62"/>
          <w:p w14:paraId="0DEDFEB5" w14:textId="77777777" w:rsidR="00192E91" w:rsidRPr="00AE18F8" w:rsidRDefault="00192E91"/>
        </w:tc>
      </w:tr>
    </w:tbl>
    <w:p w14:paraId="0DEDFEB7" w14:textId="77777777" w:rsidR="00192E91" w:rsidRPr="00AE18F8" w:rsidRDefault="001147A4">
      <w:r w:rsidRPr="00AE18F8">
        <w:br w:type="page"/>
      </w:r>
    </w:p>
    <w:p w14:paraId="0DEDFEB8" w14:textId="77777777" w:rsidR="00192E91" w:rsidRPr="00AE18F8" w:rsidRDefault="001147A4">
      <w:pPr>
        <w:pStyle w:val="Heading4"/>
        <w:rPr>
          <w:color w:val="auto"/>
        </w:rPr>
      </w:pPr>
      <w:bookmarkStart w:id="63" w:name="log-logistic-1"/>
      <w:bookmarkEnd w:id="60"/>
      <w:r w:rsidRPr="00AE18F8">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AE18F8" w:rsidRPr="00AE18F8" w14:paraId="0DEDFEBB"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EB9" w14:textId="77777777" w:rsidR="00192E91" w:rsidRPr="00AE18F8" w:rsidRDefault="001147A4">
            <w:pPr>
              <w:pStyle w:val="Compact"/>
              <w:jc w:val="center"/>
            </w:pPr>
            <w:bookmarkStart w:id="64" w:name="fig-km-log_logistic-ch2"/>
            <w:r w:rsidRPr="00AE18F8">
              <w:rPr>
                <w:noProof/>
              </w:rPr>
              <w:drawing>
                <wp:inline distT="0" distB="0" distL="0" distR="0" wp14:anchorId="0DEDFF61" wp14:editId="0DEDFF62">
                  <wp:extent cx="5943600" cy="3657600"/>
                  <wp:effectExtent l="0" t="0" r="0" b="0"/>
                  <wp:docPr id="128" name="Picture" title="A Kaplan-Meier plot showing overall survival over time for individuals who have received venetoclax with ibrutinib, with an overlaid log-logistic model fit."/>
                  <wp:cNvGraphicFramePr/>
                  <a:graphic xmlns:a="http://schemas.openxmlformats.org/drawingml/2006/main">
                    <a:graphicData uri="http://schemas.openxmlformats.org/drawingml/2006/picture">
                      <pic:pic xmlns:pic="http://schemas.openxmlformats.org/drawingml/2006/picture">
                        <pic:nvPicPr>
                          <pic:cNvPr id="129" name="Picture" descr="ID6232_veno_veni_cll_monthly._ss_files/figure-docx/fig-km-log_logistic-ch2-1.png"/>
                          <pic:cNvPicPr>
                            <a:picLocks noChangeAspect="1" noChangeArrowheads="1"/>
                          </pic:cNvPicPr>
                        </pic:nvPicPr>
                        <pic:blipFill>
                          <a:blip r:embed="rId24"/>
                          <a:stretch>
                            <a:fillRect/>
                          </a:stretch>
                        </pic:blipFill>
                        <pic:spPr bwMode="auto">
                          <a:xfrm>
                            <a:off x="0" y="0"/>
                            <a:ext cx="5943600" cy="3657600"/>
                          </a:xfrm>
                          <a:prstGeom prst="rect">
                            <a:avLst/>
                          </a:prstGeom>
                          <a:noFill/>
                          <a:ln w="9525">
                            <a:noFill/>
                            <a:headEnd/>
                            <a:tailEnd/>
                          </a:ln>
                        </pic:spPr>
                      </pic:pic>
                    </a:graphicData>
                  </a:graphic>
                </wp:inline>
              </w:drawing>
            </w:r>
          </w:p>
          <w:p w14:paraId="0DEDFEBA" w14:textId="2FC7B18E" w:rsidR="00192E91" w:rsidRPr="00AE18F8" w:rsidRDefault="001147A4">
            <w:pPr>
              <w:pStyle w:val="ImageCaption"/>
              <w:spacing w:before="200"/>
            </w:pPr>
            <w:r w:rsidRPr="00AE18F8">
              <w:t>Figure 1</w:t>
            </w:r>
            <w:r w:rsidR="002943AD" w:rsidRPr="00AE18F8">
              <w:t>8</w:t>
            </w:r>
            <w:r w:rsidRPr="00AE18F8">
              <w:t>: Overall survival against log-logistic survival function</w:t>
            </w:r>
          </w:p>
        </w:tc>
        <w:bookmarkEnd w:id="64"/>
      </w:tr>
    </w:tbl>
    <w:p w14:paraId="0DEDFEBC"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1043"/>
        <w:gridCol w:w="1244"/>
      </w:tblGrid>
      <w:tr w:rsidR="00AE18F8" w:rsidRPr="00AE18F8" w14:paraId="0DEDFEC2" w14:textId="77777777">
        <w:trPr>
          <w:cantSplit/>
          <w:tblHeader/>
          <w:jc w:val="center"/>
        </w:trPr>
        <w:tc>
          <w:tcPr>
            <w:tcW w:w="0" w:type="auto"/>
            <w:tcBorders>
              <w:top w:val="single" w:sz="16" w:space="0" w:color="D3D3D3"/>
              <w:left w:val="single" w:sz="0" w:space="0" w:color="D3D3D3"/>
              <w:bottom w:val="single" w:sz="16" w:space="0" w:color="D3D3D3"/>
            </w:tcBorders>
          </w:tcPr>
          <w:p w14:paraId="0DEDFEBD"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BE"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BF"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C0"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EC1" w14:textId="77777777" w:rsidR="00192E91" w:rsidRPr="00AE18F8" w:rsidRDefault="001147A4">
            <w:pPr>
              <w:keepNext/>
              <w:spacing w:after="60"/>
              <w:jc w:val="right"/>
            </w:pPr>
            <w:r w:rsidRPr="00AE18F8">
              <w:rPr>
                <w:rFonts w:ascii="Calibri" w:hAnsi="Calibri"/>
                <w:sz w:val="20"/>
              </w:rPr>
              <w:t>p-value</w:t>
            </w:r>
          </w:p>
        </w:tc>
      </w:tr>
      <w:tr w:rsidR="00AE18F8" w:rsidRPr="00AE18F8" w14:paraId="0DEDFEC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C3"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EC4" w14:textId="77777777" w:rsidR="00192E91" w:rsidRPr="00AE18F8" w:rsidRDefault="001147A4">
            <w:pPr>
              <w:keepNext/>
              <w:spacing w:after="60"/>
              <w:jc w:val="right"/>
            </w:pPr>
            <w:r w:rsidRPr="00AE18F8">
              <w:rPr>
                <w:rFonts w:ascii="Calibri" w:hAnsi="Calibri"/>
                <w:sz w:val="20"/>
              </w:rPr>
              <w:t>5.624</w:t>
            </w:r>
          </w:p>
        </w:tc>
        <w:tc>
          <w:tcPr>
            <w:tcW w:w="0" w:type="auto"/>
            <w:tcBorders>
              <w:top w:val="single" w:sz="0" w:space="0" w:color="D3D3D3"/>
              <w:left w:val="single" w:sz="0" w:space="0" w:color="D3D3D3"/>
              <w:bottom w:val="single" w:sz="0" w:space="0" w:color="D3D3D3"/>
              <w:right w:val="single" w:sz="0" w:space="0" w:color="D3D3D3"/>
            </w:tcBorders>
          </w:tcPr>
          <w:p w14:paraId="0DEDFEC5" w14:textId="77777777" w:rsidR="00192E91" w:rsidRPr="00AE18F8" w:rsidRDefault="001147A4">
            <w:pPr>
              <w:keepNext/>
              <w:spacing w:after="60"/>
              <w:jc w:val="right"/>
            </w:pPr>
            <w:r w:rsidRPr="00AE18F8">
              <w:rPr>
                <w:rFonts w:ascii="Calibri" w:hAnsi="Calibri"/>
                <w:sz w:val="20"/>
              </w:rPr>
              <w:t>1.295</w:t>
            </w:r>
          </w:p>
        </w:tc>
        <w:tc>
          <w:tcPr>
            <w:tcW w:w="0" w:type="auto"/>
            <w:tcBorders>
              <w:top w:val="single" w:sz="0" w:space="0" w:color="D3D3D3"/>
              <w:left w:val="single" w:sz="0" w:space="0" w:color="D3D3D3"/>
              <w:bottom w:val="single" w:sz="0" w:space="0" w:color="D3D3D3"/>
              <w:right w:val="single" w:sz="0" w:space="0" w:color="D3D3D3"/>
            </w:tcBorders>
          </w:tcPr>
          <w:p w14:paraId="0DEDFEC6" w14:textId="77777777" w:rsidR="00192E91" w:rsidRPr="00AE18F8" w:rsidRDefault="001147A4">
            <w:pPr>
              <w:keepNext/>
              <w:spacing w:after="60"/>
              <w:jc w:val="right"/>
            </w:pPr>
            <w:r w:rsidRPr="00AE18F8">
              <w:rPr>
                <w:rFonts w:ascii="Calibri" w:hAnsi="Calibri"/>
                <w:sz w:val="20"/>
              </w:rPr>
              <w:t>4.3424529</w:t>
            </w:r>
          </w:p>
        </w:tc>
        <w:tc>
          <w:tcPr>
            <w:tcW w:w="0" w:type="auto"/>
            <w:tcBorders>
              <w:top w:val="single" w:sz="0" w:space="0" w:color="D3D3D3"/>
              <w:left w:val="single" w:sz="0" w:space="0" w:color="D3D3D3"/>
              <w:bottom w:val="single" w:sz="0" w:space="0" w:color="D3D3D3"/>
              <w:right w:val="single" w:sz="0" w:space="0" w:color="D3D3D3"/>
            </w:tcBorders>
          </w:tcPr>
          <w:p w14:paraId="0DEDFEC7" w14:textId="77777777" w:rsidR="00192E91" w:rsidRPr="00AE18F8" w:rsidRDefault="001147A4">
            <w:pPr>
              <w:keepNext/>
              <w:spacing w:after="60"/>
              <w:jc w:val="right"/>
            </w:pPr>
            <w:r w:rsidRPr="00AE18F8">
              <w:rPr>
                <w:rFonts w:ascii="Calibri" w:hAnsi="Calibri"/>
                <w:sz w:val="20"/>
              </w:rPr>
              <w:t>1.409007e-05</w:t>
            </w:r>
          </w:p>
        </w:tc>
      </w:tr>
      <w:tr w:rsidR="00AE18F8" w:rsidRPr="00AE18F8" w14:paraId="0DEDFEC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C9"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ECA" w14:textId="77777777" w:rsidR="00192E91" w:rsidRPr="00AE18F8" w:rsidRDefault="001147A4">
            <w:pPr>
              <w:keepNext/>
              <w:spacing w:after="60"/>
              <w:jc w:val="right"/>
            </w:pPr>
            <w:r w:rsidRPr="00AE18F8">
              <w:rPr>
                <w:rFonts w:ascii="Calibri" w:hAnsi="Calibri"/>
                <w:sz w:val="20"/>
              </w:rPr>
              <w:t>-0.190</w:t>
            </w:r>
          </w:p>
        </w:tc>
        <w:tc>
          <w:tcPr>
            <w:tcW w:w="0" w:type="auto"/>
            <w:tcBorders>
              <w:top w:val="single" w:sz="0" w:space="0" w:color="D3D3D3"/>
              <w:left w:val="single" w:sz="0" w:space="0" w:color="D3D3D3"/>
              <w:bottom w:val="single" w:sz="0" w:space="0" w:color="D3D3D3"/>
              <w:right w:val="single" w:sz="0" w:space="0" w:color="D3D3D3"/>
            </w:tcBorders>
          </w:tcPr>
          <w:p w14:paraId="0DEDFECB" w14:textId="77777777" w:rsidR="00192E91" w:rsidRPr="00AE18F8" w:rsidRDefault="001147A4">
            <w:pPr>
              <w:keepNext/>
              <w:spacing w:after="60"/>
              <w:jc w:val="right"/>
            </w:pPr>
            <w:r w:rsidRPr="00AE18F8">
              <w:rPr>
                <w:rFonts w:ascii="Calibri" w:hAnsi="Calibri"/>
                <w:sz w:val="20"/>
              </w:rPr>
              <w:t>0.463</w:t>
            </w:r>
          </w:p>
        </w:tc>
        <w:tc>
          <w:tcPr>
            <w:tcW w:w="0" w:type="auto"/>
            <w:tcBorders>
              <w:top w:val="single" w:sz="0" w:space="0" w:color="D3D3D3"/>
              <w:left w:val="single" w:sz="0" w:space="0" w:color="D3D3D3"/>
              <w:bottom w:val="single" w:sz="0" w:space="0" w:color="D3D3D3"/>
              <w:right w:val="single" w:sz="0" w:space="0" w:color="D3D3D3"/>
            </w:tcBorders>
          </w:tcPr>
          <w:p w14:paraId="0DEDFECC" w14:textId="77777777" w:rsidR="00192E91" w:rsidRPr="00AE18F8" w:rsidRDefault="001147A4">
            <w:pPr>
              <w:keepNext/>
              <w:spacing w:after="60"/>
              <w:jc w:val="right"/>
            </w:pPr>
            <w:r w:rsidRPr="00AE18F8">
              <w:rPr>
                <w:rFonts w:ascii="Calibri" w:hAnsi="Calibri"/>
                <w:sz w:val="20"/>
              </w:rPr>
              <w:t>-0.4100564</w:t>
            </w:r>
          </w:p>
        </w:tc>
        <w:tc>
          <w:tcPr>
            <w:tcW w:w="0" w:type="auto"/>
            <w:tcBorders>
              <w:top w:val="single" w:sz="0" w:space="0" w:color="D3D3D3"/>
              <w:left w:val="single" w:sz="0" w:space="0" w:color="D3D3D3"/>
              <w:bottom w:val="single" w:sz="0" w:space="0" w:color="D3D3D3"/>
              <w:right w:val="single" w:sz="0" w:space="0" w:color="D3D3D3"/>
            </w:tcBorders>
          </w:tcPr>
          <w:p w14:paraId="0DEDFECD" w14:textId="77777777" w:rsidR="00192E91" w:rsidRPr="00AE18F8" w:rsidRDefault="001147A4">
            <w:pPr>
              <w:keepNext/>
              <w:spacing w:after="60"/>
              <w:jc w:val="right"/>
            </w:pPr>
            <w:r w:rsidRPr="00AE18F8">
              <w:rPr>
                <w:rFonts w:ascii="Calibri" w:hAnsi="Calibri"/>
                <w:sz w:val="20"/>
              </w:rPr>
              <w:t>6.817646e-01</w:t>
            </w:r>
          </w:p>
        </w:tc>
      </w:tr>
      <w:tr w:rsidR="00AE18F8" w:rsidRPr="00AE18F8" w14:paraId="0DEDFED0" w14:textId="77777777">
        <w:trPr>
          <w:cantSplit/>
          <w:jc w:val="center"/>
        </w:trPr>
        <w:tc>
          <w:tcPr>
            <w:tcW w:w="0" w:type="auto"/>
            <w:gridSpan w:val="5"/>
          </w:tcPr>
          <w:p w14:paraId="0DEDFECF" w14:textId="77777777" w:rsidR="00192E91" w:rsidRPr="00AE18F8" w:rsidRDefault="001147A4">
            <w:pPr>
              <w:keepNext/>
              <w:spacing w:after="60"/>
            </w:pPr>
            <w:r w:rsidRPr="00AE18F8">
              <w:rPr>
                <w:rFonts w:ascii="Calibri" w:hAnsi="Calibri"/>
                <w:sz w:val="20"/>
              </w:rPr>
              <w:t>log-likelihood = -28.7236159283733</w:t>
            </w:r>
          </w:p>
        </w:tc>
      </w:tr>
      <w:tr w:rsidR="00AE18F8" w:rsidRPr="00AE18F8" w14:paraId="0DEDFED2" w14:textId="77777777">
        <w:trPr>
          <w:cantSplit/>
          <w:jc w:val="center"/>
        </w:trPr>
        <w:tc>
          <w:tcPr>
            <w:tcW w:w="0" w:type="auto"/>
            <w:gridSpan w:val="5"/>
          </w:tcPr>
          <w:p w14:paraId="0DEDFED1" w14:textId="77777777" w:rsidR="00192E91" w:rsidRPr="00AE18F8" w:rsidRDefault="001147A4">
            <w:pPr>
              <w:keepNext/>
              <w:spacing w:after="60"/>
            </w:pPr>
            <w:r w:rsidRPr="00AE18F8">
              <w:rPr>
                <w:rFonts w:ascii="Calibri" w:hAnsi="Calibri"/>
                <w:sz w:val="20"/>
              </w:rPr>
              <w:t>AIC = 61.4472318567465</w:t>
            </w:r>
          </w:p>
        </w:tc>
      </w:tr>
      <w:tr w:rsidR="00AE18F8" w:rsidRPr="00AE18F8" w14:paraId="0DEDFED4" w14:textId="77777777">
        <w:trPr>
          <w:cantSplit/>
          <w:jc w:val="center"/>
        </w:trPr>
        <w:tc>
          <w:tcPr>
            <w:tcW w:w="0" w:type="auto"/>
            <w:gridSpan w:val="5"/>
          </w:tcPr>
          <w:p w14:paraId="0DEDFED3" w14:textId="77777777" w:rsidR="00192E91" w:rsidRPr="00AE18F8" w:rsidRDefault="001147A4">
            <w:pPr>
              <w:keepNext/>
              <w:spacing w:after="60"/>
            </w:pPr>
            <w:r w:rsidRPr="00AE18F8">
              <w:rPr>
                <w:rFonts w:ascii="Calibri" w:hAnsi="Calibri"/>
                <w:sz w:val="20"/>
              </w:rPr>
              <w:t>BIC = 66.811494310995</w:t>
            </w:r>
          </w:p>
        </w:tc>
      </w:tr>
    </w:tbl>
    <w:tbl>
      <w:tblPr>
        <w:tblStyle w:val="Table"/>
        <w:tblW w:w="5000" w:type="pct"/>
        <w:tblLayout w:type="fixed"/>
        <w:tblLook w:val="0000" w:firstRow="0" w:lastRow="0" w:firstColumn="0" w:lastColumn="0" w:noHBand="0" w:noVBand="0"/>
      </w:tblPr>
      <w:tblGrid>
        <w:gridCol w:w="9360"/>
      </w:tblGrid>
      <w:tr w:rsidR="00AE18F8" w:rsidRPr="00AE18F8" w14:paraId="0DEDFED9" w14:textId="77777777">
        <w:tc>
          <w:tcPr>
            <w:tcW w:w="7920" w:type="dxa"/>
          </w:tcPr>
          <w:p w14:paraId="0DEDFED5" w14:textId="77777777" w:rsidR="00192E91" w:rsidRPr="00AE18F8" w:rsidRDefault="001147A4">
            <w:pPr>
              <w:pStyle w:val="ImageCaption"/>
              <w:spacing w:before="200"/>
            </w:pPr>
            <w:bookmarkStart w:id="65" w:name="tbl-km-log_logistic-ch2"/>
            <w:r w:rsidRPr="00AE18F8">
              <w:t>Table 14: Survival model fit summary (log-Logistic distribution)</w:t>
            </w:r>
          </w:p>
          <w:bookmarkEnd w:id="65"/>
          <w:p w14:paraId="0DEDFED8" w14:textId="77777777" w:rsidR="00192E91" w:rsidRPr="00AE18F8" w:rsidRDefault="00192E91"/>
        </w:tc>
      </w:tr>
    </w:tbl>
    <w:p w14:paraId="0DEDFEDA" w14:textId="77777777" w:rsidR="00192E91" w:rsidRPr="00AE18F8" w:rsidRDefault="001147A4">
      <w:r w:rsidRPr="00AE18F8">
        <w:br w:type="page"/>
      </w:r>
    </w:p>
    <w:p w14:paraId="0DEDFEDB" w14:textId="77777777" w:rsidR="00192E91" w:rsidRPr="00AE18F8" w:rsidRDefault="001147A4">
      <w:pPr>
        <w:pStyle w:val="Heading4"/>
        <w:rPr>
          <w:color w:val="auto"/>
        </w:rPr>
      </w:pPr>
      <w:bookmarkStart w:id="66" w:name="gaussian-1"/>
      <w:bookmarkEnd w:id="63"/>
      <w:r w:rsidRPr="00AE18F8">
        <w:rPr>
          <w:color w:val="auto"/>
        </w:rPr>
        <w:lastRenderedPageBreak/>
        <w:t>Gaussian</w:t>
      </w:r>
    </w:p>
    <w:tbl>
      <w:tblPr>
        <w:tblStyle w:val="Table"/>
        <w:tblW w:w="5000" w:type="pct"/>
        <w:tblLayout w:type="fixed"/>
        <w:tblLook w:val="0000" w:firstRow="0" w:lastRow="0" w:firstColumn="0" w:lastColumn="0" w:noHBand="0" w:noVBand="0"/>
      </w:tblPr>
      <w:tblGrid>
        <w:gridCol w:w="9360"/>
      </w:tblGrid>
      <w:tr w:rsidR="00AE18F8" w:rsidRPr="00AE18F8" w14:paraId="0DEDFEDE" w14:textId="77777777" w:rsidTr="003C66C2">
        <w:tc>
          <w:tcPr>
            <w:tcW w:w="7920" w:type="dxa"/>
          </w:tcPr>
          <w:p w14:paraId="0DEDFEDC" w14:textId="77777777" w:rsidR="00192E91" w:rsidRPr="00AE18F8" w:rsidRDefault="001147A4">
            <w:pPr>
              <w:pStyle w:val="Compact"/>
              <w:jc w:val="center"/>
            </w:pPr>
            <w:bookmarkStart w:id="67" w:name="fig-km-Gaussian-ch2"/>
            <w:r w:rsidRPr="00AE18F8">
              <w:rPr>
                <w:noProof/>
              </w:rPr>
              <w:drawing>
                <wp:inline distT="0" distB="0" distL="0" distR="0" wp14:anchorId="0DEDFF63" wp14:editId="0DEDFF64">
                  <wp:extent cx="5943600" cy="3657600"/>
                  <wp:effectExtent l="0" t="0" r="0" b="0"/>
                  <wp:docPr id="134" name="Picture" title="A Kaplan-Meier plot showing overall survival over time for individuals who have received venetoclax with ibrutinib, with an overlaid Gaussian model fit."/>
                  <wp:cNvGraphicFramePr/>
                  <a:graphic xmlns:a="http://schemas.openxmlformats.org/drawingml/2006/main">
                    <a:graphicData uri="http://schemas.openxmlformats.org/drawingml/2006/picture">
                      <pic:pic xmlns:pic="http://schemas.openxmlformats.org/drawingml/2006/picture">
                        <pic:nvPicPr>
                          <pic:cNvPr id="135" name="Picture" descr="ID6232_veno_veni_cll_monthly._ss_files/figure-docx/fig-km-Gaussian-ch2-1.png"/>
                          <pic:cNvPicPr>
                            <a:picLocks noChangeAspect="1" noChangeArrowheads="1"/>
                          </pic:cNvPicPr>
                        </pic:nvPicPr>
                        <pic:blipFill>
                          <a:blip r:embed="rId25"/>
                          <a:stretch>
                            <a:fillRect/>
                          </a:stretch>
                        </pic:blipFill>
                        <pic:spPr bwMode="auto">
                          <a:xfrm>
                            <a:off x="0" y="0"/>
                            <a:ext cx="5943600" cy="3657600"/>
                          </a:xfrm>
                          <a:prstGeom prst="rect">
                            <a:avLst/>
                          </a:prstGeom>
                          <a:noFill/>
                          <a:ln w="9525">
                            <a:noFill/>
                            <a:headEnd/>
                            <a:tailEnd/>
                          </a:ln>
                        </pic:spPr>
                      </pic:pic>
                    </a:graphicData>
                  </a:graphic>
                </wp:inline>
              </w:drawing>
            </w:r>
          </w:p>
          <w:p w14:paraId="0DEDFEDD" w14:textId="0633D08B" w:rsidR="00192E91" w:rsidRPr="00AE18F8" w:rsidRDefault="001147A4">
            <w:pPr>
              <w:pStyle w:val="ImageCaption"/>
              <w:spacing w:before="200"/>
            </w:pPr>
            <w:r w:rsidRPr="00AE18F8">
              <w:t>Figure 1</w:t>
            </w:r>
            <w:r w:rsidR="002943AD" w:rsidRPr="00AE18F8">
              <w:t>9</w:t>
            </w:r>
            <w:r w:rsidRPr="00AE18F8">
              <w:t>: Overall survival against Gaussian survival function</w:t>
            </w:r>
          </w:p>
        </w:tc>
        <w:bookmarkEnd w:id="67"/>
      </w:tr>
    </w:tbl>
    <w:p w14:paraId="0DEDFEDF"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244"/>
      </w:tblGrid>
      <w:tr w:rsidR="00AE18F8" w:rsidRPr="00AE18F8" w14:paraId="0DEDFEE5" w14:textId="77777777">
        <w:trPr>
          <w:cantSplit/>
          <w:tblHeader/>
          <w:jc w:val="center"/>
        </w:trPr>
        <w:tc>
          <w:tcPr>
            <w:tcW w:w="0" w:type="auto"/>
            <w:tcBorders>
              <w:top w:val="single" w:sz="16" w:space="0" w:color="D3D3D3"/>
              <w:left w:val="single" w:sz="0" w:space="0" w:color="D3D3D3"/>
              <w:bottom w:val="single" w:sz="16" w:space="0" w:color="D3D3D3"/>
            </w:tcBorders>
          </w:tcPr>
          <w:p w14:paraId="0DEDFEE0"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EE1"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EE2"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EE3" w14:textId="77777777" w:rsidR="00192E91" w:rsidRPr="00AE18F8" w:rsidRDefault="001147A4">
            <w:pPr>
              <w:keepNext/>
              <w:spacing w:after="60"/>
              <w:jc w:val="right"/>
            </w:pPr>
            <w:r w:rsidRPr="00AE18F8">
              <w:rPr>
                <w:rFonts w:ascii="Calibri" w:hAnsi="Calibri"/>
                <w:sz w:val="20"/>
              </w:rPr>
              <w:t>z</w:t>
            </w:r>
          </w:p>
        </w:tc>
        <w:tc>
          <w:tcPr>
            <w:tcW w:w="0" w:type="auto"/>
            <w:tcBorders>
              <w:top w:val="single" w:sz="16" w:space="0" w:color="D3D3D3"/>
              <w:bottom w:val="single" w:sz="16" w:space="0" w:color="D3D3D3"/>
              <w:right w:val="single" w:sz="0" w:space="0" w:color="D3D3D3"/>
            </w:tcBorders>
          </w:tcPr>
          <w:p w14:paraId="0DEDFEE4" w14:textId="77777777" w:rsidR="00192E91" w:rsidRPr="00AE18F8" w:rsidRDefault="001147A4">
            <w:pPr>
              <w:keepNext/>
              <w:spacing w:after="60"/>
              <w:jc w:val="right"/>
            </w:pPr>
            <w:r w:rsidRPr="00AE18F8">
              <w:rPr>
                <w:rFonts w:ascii="Calibri" w:hAnsi="Calibri"/>
                <w:sz w:val="20"/>
              </w:rPr>
              <w:t>p-value</w:t>
            </w:r>
          </w:p>
        </w:tc>
      </w:tr>
      <w:tr w:rsidR="00AE18F8" w:rsidRPr="00AE18F8" w14:paraId="0DEDFEE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E6" w14:textId="77777777" w:rsidR="00192E91" w:rsidRPr="00AE18F8" w:rsidRDefault="001147A4">
            <w:pPr>
              <w:keepNext/>
              <w:spacing w:after="60"/>
            </w:pPr>
            <w:r w:rsidRPr="00AE18F8">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DEDFEE7" w14:textId="77777777" w:rsidR="00192E91" w:rsidRPr="00AE18F8" w:rsidRDefault="001147A4">
            <w:pPr>
              <w:keepNext/>
              <w:spacing w:after="60"/>
              <w:jc w:val="right"/>
            </w:pPr>
            <w:r w:rsidRPr="00AE18F8">
              <w:rPr>
                <w:rFonts w:ascii="Calibri" w:hAnsi="Calibri"/>
                <w:sz w:val="20"/>
              </w:rPr>
              <w:t>65.740</w:t>
            </w:r>
          </w:p>
        </w:tc>
        <w:tc>
          <w:tcPr>
            <w:tcW w:w="0" w:type="auto"/>
            <w:tcBorders>
              <w:top w:val="single" w:sz="0" w:space="0" w:color="D3D3D3"/>
              <w:left w:val="single" w:sz="0" w:space="0" w:color="D3D3D3"/>
              <w:bottom w:val="single" w:sz="0" w:space="0" w:color="D3D3D3"/>
              <w:right w:val="single" w:sz="0" w:space="0" w:color="D3D3D3"/>
            </w:tcBorders>
          </w:tcPr>
          <w:p w14:paraId="0DEDFEE8" w14:textId="77777777" w:rsidR="00192E91" w:rsidRPr="00AE18F8" w:rsidRDefault="001147A4">
            <w:pPr>
              <w:keepNext/>
              <w:spacing w:after="60"/>
              <w:jc w:val="right"/>
            </w:pPr>
            <w:r w:rsidRPr="00AE18F8">
              <w:rPr>
                <w:rFonts w:ascii="Calibri" w:hAnsi="Calibri"/>
                <w:sz w:val="20"/>
              </w:rPr>
              <w:t>20.951</w:t>
            </w:r>
          </w:p>
        </w:tc>
        <w:tc>
          <w:tcPr>
            <w:tcW w:w="0" w:type="auto"/>
            <w:tcBorders>
              <w:top w:val="single" w:sz="0" w:space="0" w:color="D3D3D3"/>
              <w:left w:val="single" w:sz="0" w:space="0" w:color="D3D3D3"/>
              <w:bottom w:val="single" w:sz="0" w:space="0" w:color="D3D3D3"/>
              <w:right w:val="single" w:sz="0" w:space="0" w:color="D3D3D3"/>
            </w:tcBorders>
          </w:tcPr>
          <w:p w14:paraId="0DEDFEE9" w14:textId="77777777" w:rsidR="00192E91" w:rsidRPr="00AE18F8" w:rsidRDefault="001147A4">
            <w:pPr>
              <w:keepNext/>
              <w:spacing w:after="60"/>
              <w:jc w:val="right"/>
            </w:pPr>
            <w:r w:rsidRPr="00AE18F8">
              <w:rPr>
                <w:rFonts w:ascii="Calibri" w:hAnsi="Calibri"/>
                <w:sz w:val="20"/>
              </w:rPr>
              <w:t>3.137860</w:t>
            </w:r>
          </w:p>
        </w:tc>
        <w:tc>
          <w:tcPr>
            <w:tcW w:w="0" w:type="auto"/>
            <w:tcBorders>
              <w:top w:val="single" w:sz="0" w:space="0" w:color="D3D3D3"/>
              <w:left w:val="single" w:sz="0" w:space="0" w:color="D3D3D3"/>
              <w:bottom w:val="single" w:sz="0" w:space="0" w:color="D3D3D3"/>
              <w:right w:val="single" w:sz="0" w:space="0" w:color="D3D3D3"/>
            </w:tcBorders>
          </w:tcPr>
          <w:p w14:paraId="0DEDFEEA" w14:textId="77777777" w:rsidR="00192E91" w:rsidRPr="00AE18F8" w:rsidRDefault="001147A4">
            <w:pPr>
              <w:keepNext/>
              <w:spacing w:after="60"/>
              <w:jc w:val="right"/>
            </w:pPr>
            <w:r w:rsidRPr="00AE18F8">
              <w:rPr>
                <w:rFonts w:ascii="Calibri" w:hAnsi="Calibri"/>
                <w:sz w:val="20"/>
              </w:rPr>
              <w:t>1.701861e-03</w:t>
            </w:r>
          </w:p>
        </w:tc>
      </w:tr>
      <w:tr w:rsidR="00AE18F8" w:rsidRPr="00AE18F8" w14:paraId="0DEDFEF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EEC" w14:textId="77777777" w:rsidR="00192E91" w:rsidRPr="00AE18F8" w:rsidRDefault="001147A4">
            <w:pPr>
              <w:keepNext/>
              <w:spacing w:after="60"/>
            </w:pPr>
            <w:r w:rsidRPr="00AE18F8">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DEDFEED" w14:textId="77777777" w:rsidR="00192E91" w:rsidRPr="00AE18F8" w:rsidRDefault="001147A4">
            <w:pPr>
              <w:keepNext/>
              <w:spacing w:after="60"/>
              <w:jc w:val="right"/>
            </w:pPr>
            <w:r w:rsidRPr="00AE18F8">
              <w:rPr>
                <w:rFonts w:ascii="Calibri" w:hAnsi="Calibri"/>
                <w:sz w:val="20"/>
              </w:rPr>
              <w:t>3.248</w:t>
            </w:r>
          </w:p>
        </w:tc>
        <w:tc>
          <w:tcPr>
            <w:tcW w:w="0" w:type="auto"/>
            <w:tcBorders>
              <w:top w:val="single" w:sz="0" w:space="0" w:color="D3D3D3"/>
              <w:left w:val="single" w:sz="0" w:space="0" w:color="D3D3D3"/>
              <w:bottom w:val="single" w:sz="0" w:space="0" w:color="D3D3D3"/>
              <w:right w:val="single" w:sz="0" w:space="0" w:color="D3D3D3"/>
            </w:tcBorders>
          </w:tcPr>
          <w:p w14:paraId="0DEDFEEE" w14:textId="77777777" w:rsidR="00192E91" w:rsidRPr="00AE18F8" w:rsidRDefault="001147A4">
            <w:pPr>
              <w:keepNext/>
              <w:spacing w:after="60"/>
              <w:jc w:val="right"/>
            </w:pPr>
            <w:r w:rsidRPr="00AE18F8">
              <w:rPr>
                <w:rFonts w:ascii="Calibri" w:hAnsi="Calibri"/>
                <w:sz w:val="20"/>
              </w:rPr>
              <w:t>0.427</w:t>
            </w:r>
          </w:p>
        </w:tc>
        <w:tc>
          <w:tcPr>
            <w:tcW w:w="0" w:type="auto"/>
            <w:tcBorders>
              <w:top w:val="single" w:sz="0" w:space="0" w:color="D3D3D3"/>
              <w:left w:val="single" w:sz="0" w:space="0" w:color="D3D3D3"/>
              <w:bottom w:val="single" w:sz="0" w:space="0" w:color="D3D3D3"/>
              <w:right w:val="single" w:sz="0" w:space="0" w:color="D3D3D3"/>
            </w:tcBorders>
          </w:tcPr>
          <w:p w14:paraId="0DEDFEEF" w14:textId="77777777" w:rsidR="00192E91" w:rsidRPr="00AE18F8" w:rsidRDefault="001147A4">
            <w:pPr>
              <w:keepNext/>
              <w:spacing w:after="60"/>
              <w:jc w:val="right"/>
            </w:pPr>
            <w:r w:rsidRPr="00AE18F8">
              <w:rPr>
                <w:rFonts w:ascii="Calibri" w:hAnsi="Calibri"/>
                <w:sz w:val="20"/>
              </w:rPr>
              <w:t>7.611054</w:t>
            </w:r>
          </w:p>
        </w:tc>
        <w:tc>
          <w:tcPr>
            <w:tcW w:w="0" w:type="auto"/>
            <w:tcBorders>
              <w:top w:val="single" w:sz="0" w:space="0" w:color="D3D3D3"/>
              <w:left w:val="single" w:sz="0" w:space="0" w:color="D3D3D3"/>
              <w:bottom w:val="single" w:sz="0" w:space="0" w:color="D3D3D3"/>
              <w:right w:val="single" w:sz="0" w:space="0" w:color="D3D3D3"/>
            </w:tcBorders>
          </w:tcPr>
          <w:p w14:paraId="0DEDFEF0" w14:textId="77777777" w:rsidR="00192E91" w:rsidRPr="00AE18F8" w:rsidRDefault="001147A4">
            <w:pPr>
              <w:keepNext/>
              <w:spacing w:after="60"/>
              <w:jc w:val="right"/>
            </w:pPr>
            <w:r w:rsidRPr="00AE18F8">
              <w:rPr>
                <w:rFonts w:ascii="Calibri" w:hAnsi="Calibri"/>
                <w:sz w:val="20"/>
              </w:rPr>
              <w:t>2.718686e-14</w:t>
            </w:r>
          </w:p>
        </w:tc>
      </w:tr>
      <w:tr w:rsidR="00AE18F8" w:rsidRPr="00AE18F8" w14:paraId="0DEDFEF3" w14:textId="77777777">
        <w:trPr>
          <w:cantSplit/>
          <w:jc w:val="center"/>
        </w:trPr>
        <w:tc>
          <w:tcPr>
            <w:tcW w:w="0" w:type="auto"/>
            <w:gridSpan w:val="5"/>
          </w:tcPr>
          <w:p w14:paraId="0DEDFEF2" w14:textId="77777777" w:rsidR="00192E91" w:rsidRPr="00AE18F8" w:rsidRDefault="001147A4">
            <w:pPr>
              <w:keepNext/>
              <w:spacing w:after="60"/>
            </w:pPr>
            <w:r w:rsidRPr="00AE18F8">
              <w:rPr>
                <w:rFonts w:ascii="Calibri" w:hAnsi="Calibri"/>
                <w:sz w:val="20"/>
              </w:rPr>
              <w:t>log-likelihood = -30.1690705828917</w:t>
            </w:r>
          </w:p>
        </w:tc>
      </w:tr>
      <w:tr w:rsidR="00AE18F8" w:rsidRPr="00AE18F8" w14:paraId="0DEDFEF5" w14:textId="77777777">
        <w:trPr>
          <w:cantSplit/>
          <w:jc w:val="center"/>
        </w:trPr>
        <w:tc>
          <w:tcPr>
            <w:tcW w:w="0" w:type="auto"/>
            <w:gridSpan w:val="5"/>
          </w:tcPr>
          <w:p w14:paraId="0DEDFEF4" w14:textId="77777777" w:rsidR="00192E91" w:rsidRPr="00AE18F8" w:rsidRDefault="001147A4">
            <w:pPr>
              <w:keepNext/>
              <w:spacing w:after="60"/>
            </w:pPr>
            <w:r w:rsidRPr="00AE18F8">
              <w:rPr>
                <w:rFonts w:ascii="Calibri" w:hAnsi="Calibri"/>
                <w:sz w:val="20"/>
              </w:rPr>
              <w:t>AIC = 64.3381411657834</w:t>
            </w:r>
          </w:p>
        </w:tc>
      </w:tr>
      <w:tr w:rsidR="00AE18F8" w:rsidRPr="00AE18F8" w14:paraId="0DEDFEF7" w14:textId="77777777">
        <w:trPr>
          <w:cantSplit/>
          <w:jc w:val="center"/>
        </w:trPr>
        <w:tc>
          <w:tcPr>
            <w:tcW w:w="0" w:type="auto"/>
            <w:gridSpan w:val="5"/>
          </w:tcPr>
          <w:p w14:paraId="0DEDFEF6" w14:textId="77777777" w:rsidR="00192E91" w:rsidRPr="00AE18F8" w:rsidRDefault="001147A4">
            <w:pPr>
              <w:keepNext/>
              <w:spacing w:after="60"/>
            </w:pPr>
            <w:r w:rsidRPr="00AE18F8">
              <w:rPr>
                <w:rFonts w:ascii="Calibri" w:hAnsi="Calibri"/>
                <w:sz w:val="20"/>
              </w:rPr>
              <w:t>BIC = 69.7024036200318</w:t>
            </w:r>
          </w:p>
        </w:tc>
      </w:tr>
    </w:tbl>
    <w:tbl>
      <w:tblPr>
        <w:tblStyle w:val="Table"/>
        <w:tblW w:w="5000" w:type="pct"/>
        <w:tblLayout w:type="fixed"/>
        <w:tblLook w:val="0000" w:firstRow="0" w:lastRow="0" w:firstColumn="0" w:lastColumn="0" w:noHBand="0" w:noVBand="0"/>
      </w:tblPr>
      <w:tblGrid>
        <w:gridCol w:w="9360"/>
      </w:tblGrid>
      <w:tr w:rsidR="00AE18F8" w:rsidRPr="00AE18F8" w14:paraId="0DEDFEFC" w14:textId="77777777">
        <w:tc>
          <w:tcPr>
            <w:tcW w:w="7920" w:type="dxa"/>
          </w:tcPr>
          <w:p w14:paraId="0DEDFEF8" w14:textId="77777777" w:rsidR="00192E91" w:rsidRPr="00AE18F8" w:rsidRDefault="001147A4">
            <w:pPr>
              <w:pStyle w:val="ImageCaption"/>
              <w:spacing w:before="200"/>
            </w:pPr>
            <w:bookmarkStart w:id="68" w:name="tbl-km-Gaussian-ch2"/>
            <w:r w:rsidRPr="00AE18F8">
              <w:t>Table 15: Survival model fit summary (Gaussian distribution)</w:t>
            </w:r>
          </w:p>
          <w:bookmarkEnd w:id="68"/>
          <w:p w14:paraId="0DEDFEFB" w14:textId="77777777" w:rsidR="00192E91" w:rsidRPr="00AE18F8" w:rsidRDefault="00192E91"/>
        </w:tc>
      </w:tr>
    </w:tbl>
    <w:p w14:paraId="0DEDFEFD" w14:textId="77777777" w:rsidR="00192E91" w:rsidRPr="00AE18F8" w:rsidRDefault="001147A4">
      <w:r w:rsidRPr="00AE18F8">
        <w:br w:type="page"/>
      </w:r>
    </w:p>
    <w:p w14:paraId="0DEDFEFE" w14:textId="77777777" w:rsidR="00192E91" w:rsidRPr="00AE18F8" w:rsidRDefault="001147A4">
      <w:pPr>
        <w:pStyle w:val="Heading4"/>
        <w:rPr>
          <w:color w:val="auto"/>
        </w:rPr>
      </w:pPr>
      <w:bookmarkStart w:id="69" w:name="gamma-1"/>
      <w:bookmarkEnd w:id="66"/>
      <w:r w:rsidRPr="00AE18F8">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AE18F8" w:rsidRPr="00AE18F8" w14:paraId="0DEDFF01"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EFF" w14:textId="77777777" w:rsidR="00192E91" w:rsidRPr="00AE18F8" w:rsidRDefault="001147A4">
            <w:pPr>
              <w:pStyle w:val="Compact"/>
              <w:jc w:val="center"/>
            </w:pPr>
            <w:bookmarkStart w:id="70" w:name="fig-km-gamma-ch2"/>
            <w:r w:rsidRPr="00AE18F8">
              <w:rPr>
                <w:noProof/>
              </w:rPr>
              <w:drawing>
                <wp:inline distT="0" distB="0" distL="0" distR="0" wp14:anchorId="0DEDFF65" wp14:editId="0DEDFF66">
                  <wp:extent cx="5943600" cy="3657600"/>
                  <wp:effectExtent l="0" t="0" r="0" b="0"/>
                  <wp:docPr id="140" name="Picture" title="A Kaplan-Meier plot showing overall survival over time for individuals who have received venetoclax with ibrutinib, with an overlaid gamma model fit."/>
                  <wp:cNvGraphicFramePr/>
                  <a:graphic xmlns:a="http://schemas.openxmlformats.org/drawingml/2006/main">
                    <a:graphicData uri="http://schemas.openxmlformats.org/drawingml/2006/picture">
                      <pic:pic xmlns:pic="http://schemas.openxmlformats.org/drawingml/2006/picture">
                        <pic:nvPicPr>
                          <pic:cNvPr id="141" name="Picture" descr="ID6232_veno_veni_cll_monthly._ss_files/figure-docx/fig-km-gamma-ch2-1.png"/>
                          <pic:cNvPicPr>
                            <a:picLocks noChangeAspect="1" noChangeArrowheads="1"/>
                          </pic:cNvPicPr>
                        </pic:nvPicPr>
                        <pic:blipFill>
                          <a:blip r:embed="rId26"/>
                          <a:stretch>
                            <a:fillRect/>
                          </a:stretch>
                        </pic:blipFill>
                        <pic:spPr bwMode="auto">
                          <a:xfrm>
                            <a:off x="0" y="0"/>
                            <a:ext cx="5943600" cy="3657600"/>
                          </a:xfrm>
                          <a:prstGeom prst="rect">
                            <a:avLst/>
                          </a:prstGeom>
                          <a:noFill/>
                          <a:ln w="9525">
                            <a:noFill/>
                            <a:headEnd/>
                            <a:tailEnd/>
                          </a:ln>
                        </pic:spPr>
                      </pic:pic>
                    </a:graphicData>
                  </a:graphic>
                </wp:inline>
              </w:drawing>
            </w:r>
          </w:p>
          <w:p w14:paraId="0DEDFF00" w14:textId="2D624ADB" w:rsidR="00192E91" w:rsidRPr="00AE18F8" w:rsidRDefault="001147A4">
            <w:pPr>
              <w:pStyle w:val="ImageCaption"/>
              <w:spacing w:before="200"/>
            </w:pPr>
            <w:r w:rsidRPr="00AE18F8">
              <w:t>Figure </w:t>
            </w:r>
            <w:r w:rsidR="002943AD" w:rsidRPr="00AE18F8">
              <w:t>20</w:t>
            </w:r>
            <w:r w:rsidRPr="00AE18F8">
              <w:t>: Overall survival against gamma survival function</w:t>
            </w:r>
          </w:p>
        </w:tc>
        <w:bookmarkEnd w:id="70"/>
      </w:tr>
    </w:tbl>
    <w:p w14:paraId="0DEDFF02"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286"/>
        <w:gridCol w:w="881"/>
      </w:tblGrid>
      <w:tr w:rsidR="00AE18F8" w:rsidRPr="00AE18F8" w14:paraId="0DEDFF08" w14:textId="77777777">
        <w:trPr>
          <w:cantSplit/>
          <w:tblHeader/>
          <w:jc w:val="center"/>
        </w:trPr>
        <w:tc>
          <w:tcPr>
            <w:tcW w:w="0" w:type="auto"/>
            <w:tcBorders>
              <w:top w:val="single" w:sz="16" w:space="0" w:color="D3D3D3"/>
              <w:left w:val="single" w:sz="0" w:space="0" w:color="D3D3D3"/>
              <w:bottom w:val="single" w:sz="16" w:space="0" w:color="D3D3D3"/>
            </w:tcBorders>
          </w:tcPr>
          <w:p w14:paraId="0DEDFF03"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F04"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F05"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F06" w14:textId="77777777" w:rsidR="00192E91" w:rsidRPr="00AE18F8" w:rsidRDefault="001147A4">
            <w:pPr>
              <w:keepNext/>
              <w:spacing w:after="60"/>
              <w:jc w:val="right"/>
            </w:pPr>
            <w:r w:rsidRPr="00AE18F8">
              <w:rPr>
                <w:rFonts w:ascii="Calibri" w:hAnsi="Calibri"/>
                <w:sz w:val="20"/>
              </w:rPr>
              <w:t>L95.</w:t>
            </w:r>
          </w:p>
        </w:tc>
        <w:tc>
          <w:tcPr>
            <w:tcW w:w="0" w:type="auto"/>
            <w:tcBorders>
              <w:top w:val="single" w:sz="16" w:space="0" w:color="D3D3D3"/>
              <w:bottom w:val="single" w:sz="16" w:space="0" w:color="D3D3D3"/>
              <w:right w:val="single" w:sz="0" w:space="0" w:color="D3D3D3"/>
            </w:tcBorders>
          </w:tcPr>
          <w:p w14:paraId="0DEDFF07" w14:textId="77777777" w:rsidR="00192E91" w:rsidRPr="00AE18F8" w:rsidRDefault="001147A4">
            <w:pPr>
              <w:keepNext/>
              <w:spacing w:after="60"/>
              <w:jc w:val="right"/>
            </w:pPr>
            <w:r w:rsidRPr="00AE18F8">
              <w:rPr>
                <w:rFonts w:ascii="Calibri" w:hAnsi="Calibri"/>
                <w:sz w:val="20"/>
              </w:rPr>
              <w:t>U95.</w:t>
            </w:r>
          </w:p>
        </w:tc>
      </w:tr>
      <w:tr w:rsidR="00AE18F8" w:rsidRPr="00AE18F8" w14:paraId="0DEDFF0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F09" w14:textId="77777777" w:rsidR="00192E91" w:rsidRPr="00AE18F8" w:rsidRDefault="001147A4">
            <w:pPr>
              <w:keepNext/>
              <w:spacing w:after="60"/>
            </w:pPr>
            <w:r w:rsidRPr="00AE18F8">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0DEDFF0A" w14:textId="77777777" w:rsidR="00192E91" w:rsidRPr="00AE18F8" w:rsidRDefault="001147A4">
            <w:pPr>
              <w:keepNext/>
              <w:spacing w:after="60"/>
              <w:jc w:val="right"/>
            </w:pPr>
            <w:r w:rsidRPr="00AE18F8">
              <w:rPr>
                <w:rFonts w:ascii="Calibri" w:hAnsi="Calibri"/>
                <w:sz w:val="20"/>
              </w:rPr>
              <w:t>1.224</w:t>
            </w:r>
          </w:p>
        </w:tc>
        <w:tc>
          <w:tcPr>
            <w:tcW w:w="0" w:type="auto"/>
            <w:tcBorders>
              <w:top w:val="single" w:sz="0" w:space="0" w:color="D3D3D3"/>
              <w:left w:val="single" w:sz="0" w:space="0" w:color="D3D3D3"/>
              <w:bottom w:val="single" w:sz="0" w:space="0" w:color="D3D3D3"/>
              <w:right w:val="single" w:sz="0" w:space="0" w:color="D3D3D3"/>
            </w:tcBorders>
          </w:tcPr>
          <w:p w14:paraId="0DEDFF0B" w14:textId="77777777" w:rsidR="00192E91" w:rsidRPr="00AE18F8" w:rsidRDefault="001147A4">
            <w:pPr>
              <w:keepNext/>
              <w:spacing w:after="60"/>
              <w:jc w:val="right"/>
            </w:pPr>
            <w:r w:rsidRPr="00AE18F8">
              <w:rPr>
                <w:rFonts w:ascii="Calibri" w:hAnsi="Calibri"/>
                <w:sz w:val="20"/>
              </w:rPr>
              <w:t>0.618</w:t>
            </w:r>
          </w:p>
        </w:tc>
        <w:tc>
          <w:tcPr>
            <w:tcW w:w="0" w:type="auto"/>
            <w:tcBorders>
              <w:top w:val="single" w:sz="0" w:space="0" w:color="D3D3D3"/>
              <w:left w:val="single" w:sz="0" w:space="0" w:color="D3D3D3"/>
              <w:bottom w:val="single" w:sz="0" w:space="0" w:color="D3D3D3"/>
              <w:right w:val="single" w:sz="0" w:space="0" w:color="D3D3D3"/>
            </w:tcBorders>
          </w:tcPr>
          <w:p w14:paraId="0DEDFF0C" w14:textId="77777777" w:rsidR="00192E91" w:rsidRPr="00AE18F8" w:rsidRDefault="001147A4">
            <w:pPr>
              <w:keepNext/>
              <w:spacing w:after="60"/>
              <w:jc w:val="right"/>
            </w:pPr>
            <w:r w:rsidRPr="00AE18F8">
              <w:rPr>
                <w:rFonts w:ascii="Calibri" w:hAnsi="Calibri"/>
                <w:sz w:val="20"/>
              </w:rPr>
              <w:t>0.4551392371</w:t>
            </w:r>
          </w:p>
        </w:tc>
        <w:tc>
          <w:tcPr>
            <w:tcW w:w="0" w:type="auto"/>
            <w:tcBorders>
              <w:top w:val="single" w:sz="0" w:space="0" w:color="D3D3D3"/>
              <w:left w:val="single" w:sz="0" w:space="0" w:color="D3D3D3"/>
              <w:bottom w:val="single" w:sz="0" w:space="0" w:color="D3D3D3"/>
              <w:right w:val="single" w:sz="0" w:space="0" w:color="D3D3D3"/>
            </w:tcBorders>
          </w:tcPr>
          <w:p w14:paraId="0DEDFF0D" w14:textId="77777777" w:rsidR="00192E91" w:rsidRPr="00AE18F8" w:rsidRDefault="001147A4">
            <w:pPr>
              <w:keepNext/>
              <w:spacing w:after="60"/>
              <w:jc w:val="right"/>
            </w:pPr>
            <w:r w:rsidRPr="00AE18F8">
              <w:rPr>
                <w:rFonts w:ascii="Calibri" w:hAnsi="Calibri"/>
                <w:sz w:val="20"/>
              </w:rPr>
              <w:t>3.294174</w:t>
            </w:r>
          </w:p>
        </w:tc>
      </w:tr>
      <w:tr w:rsidR="00AE18F8" w:rsidRPr="00AE18F8" w14:paraId="0DEDFF1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F0F" w14:textId="77777777" w:rsidR="00192E91" w:rsidRPr="00AE18F8" w:rsidRDefault="001147A4">
            <w:pPr>
              <w:keepNext/>
              <w:spacing w:after="60"/>
            </w:pPr>
            <w:r w:rsidRPr="00AE18F8">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0DEDFF10" w14:textId="77777777" w:rsidR="00192E91" w:rsidRPr="00AE18F8" w:rsidRDefault="001147A4">
            <w:pPr>
              <w:keepNext/>
              <w:spacing w:after="60"/>
              <w:jc w:val="right"/>
            </w:pPr>
            <w:r w:rsidRPr="00AE18F8">
              <w:rPr>
                <w:rFonts w:ascii="Calibri" w:hAnsi="Calibri"/>
                <w:sz w:val="20"/>
              </w:rPr>
              <w:t>0.004</w:t>
            </w:r>
          </w:p>
        </w:tc>
        <w:tc>
          <w:tcPr>
            <w:tcW w:w="0" w:type="auto"/>
            <w:tcBorders>
              <w:top w:val="single" w:sz="0" w:space="0" w:color="D3D3D3"/>
              <w:left w:val="single" w:sz="0" w:space="0" w:color="D3D3D3"/>
              <w:bottom w:val="single" w:sz="0" w:space="0" w:color="D3D3D3"/>
              <w:right w:val="single" w:sz="0" w:space="0" w:color="D3D3D3"/>
            </w:tcBorders>
          </w:tcPr>
          <w:p w14:paraId="0DEDFF11" w14:textId="77777777" w:rsidR="00192E91" w:rsidRPr="00AE18F8" w:rsidRDefault="001147A4">
            <w:pPr>
              <w:keepNext/>
              <w:spacing w:after="60"/>
              <w:jc w:val="right"/>
            </w:pPr>
            <w:r w:rsidRPr="00AE18F8">
              <w:rPr>
                <w:rFonts w:ascii="Calibri" w:hAnsi="Calibri"/>
                <w:sz w:val="20"/>
              </w:rPr>
              <w:t>0.007</w:t>
            </w:r>
          </w:p>
        </w:tc>
        <w:tc>
          <w:tcPr>
            <w:tcW w:w="0" w:type="auto"/>
            <w:tcBorders>
              <w:top w:val="single" w:sz="0" w:space="0" w:color="D3D3D3"/>
              <w:left w:val="single" w:sz="0" w:space="0" w:color="D3D3D3"/>
              <w:bottom w:val="single" w:sz="0" w:space="0" w:color="D3D3D3"/>
              <w:right w:val="single" w:sz="0" w:space="0" w:color="D3D3D3"/>
            </w:tcBorders>
          </w:tcPr>
          <w:p w14:paraId="0DEDFF12" w14:textId="77777777" w:rsidR="00192E91" w:rsidRPr="00AE18F8" w:rsidRDefault="001147A4">
            <w:pPr>
              <w:keepNext/>
              <w:spacing w:after="60"/>
              <w:jc w:val="right"/>
            </w:pPr>
            <w:r w:rsidRPr="00AE18F8">
              <w:rPr>
                <w:rFonts w:ascii="Calibri" w:hAnsi="Calibri"/>
                <w:sz w:val="20"/>
              </w:rPr>
              <w:t>0.0001538979</w:t>
            </w:r>
          </w:p>
        </w:tc>
        <w:tc>
          <w:tcPr>
            <w:tcW w:w="0" w:type="auto"/>
            <w:tcBorders>
              <w:top w:val="single" w:sz="0" w:space="0" w:color="D3D3D3"/>
              <w:left w:val="single" w:sz="0" w:space="0" w:color="D3D3D3"/>
              <w:bottom w:val="single" w:sz="0" w:space="0" w:color="D3D3D3"/>
              <w:right w:val="single" w:sz="0" w:space="0" w:color="D3D3D3"/>
            </w:tcBorders>
          </w:tcPr>
          <w:p w14:paraId="0DEDFF13" w14:textId="77777777" w:rsidR="00192E91" w:rsidRPr="00AE18F8" w:rsidRDefault="001147A4">
            <w:pPr>
              <w:keepNext/>
              <w:spacing w:after="60"/>
              <w:jc w:val="right"/>
            </w:pPr>
            <w:r w:rsidRPr="00AE18F8">
              <w:rPr>
                <w:rFonts w:ascii="Calibri" w:hAnsi="Calibri"/>
                <w:sz w:val="20"/>
              </w:rPr>
              <w:t>0.108501</w:t>
            </w:r>
          </w:p>
        </w:tc>
      </w:tr>
      <w:tr w:rsidR="00AE18F8" w:rsidRPr="00AE18F8" w14:paraId="0DEDFF16" w14:textId="77777777">
        <w:trPr>
          <w:cantSplit/>
          <w:jc w:val="center"/>
        </w:trPr>
        <w:tc>
          <w:tcPr>
            <w:tcW w:w="0" w:type="auto"/>
            <w:gridSpan w:val="5"/>
          </w:tcPr>
          <w:p w14:paraId="0DEDFF15" w14:textId="77777777" w:rsidR="00192E91" w:rsidRPr="00AE18F8" w:rsidRDefault="001147A4">
            <w:pPr>
              <w:keepNext/>
              <w:spacing w:after="60"/>
            </w:pPr>
            <w:r w:rsidRPr="00AE18F8">
              <w:rPr>
                <w:rFonts w:ascii="Calibri" w:hAnsi="Calibri"/>
                <w:sz w:val="20"/>
              </w:rPr>
              <w:t>log-likelihood = -28.7286998442332</w:t>
            </w:r>
          </w:p>
        </w:tc>
      </w:tr>
      <w:tr w:rsidR="00AE18F8" w:rsidRPr="00AE18F8" w14:paraId="0DEDFF18" w14:textId="77777777">
        <w:trPr>
          <w:cantSplit/>
          <w:jc w:val="center"/>
        </w:trPr>
        <w:tc>
          <w:tcPr>
            <w:tcW w:w="0" w:type="auto"/>
            <w:gridSpan w:val="5"/>
          </w:tcPr>
          <w:p w14:paraId="0DEDFF17" w14:textId="77777777" w:rsidR="00192E91" w:rsidRPr="00AE18F8" w:rsidRDefault="001147A4">
            <w:pPr>
              <w:keepNext/>
              <w:spacing w:after="60"/>
            </w:pPr>
            <w:r w:rsidRPr="00AE18F8">
              <w:rPr>
                <w:rFonts w:ascii="Calibri" w:hAnsi="Calibri"/>
                <w:sz w:val="20"/>
              </w:rPr>
              <w:t>AIC = 61.4573996884663</w:t>
            </w:r>
          </w:p>
        </w:tc>
      </w:tr>
      <w:tr w:rsidR="00AE18F8" w:rsidRPr="00AE18F8" w14:paraId="0DEDFF1A" w14:textId="77777777">
        <w:trPr>
          <w:cantSplit/>
          <w:jc w:val="center"/>
        </w:trPr>
        <w:tc>
          <w:tcPr>
            <w:tcW w:w="0" w:type="auto"/>
            <w:gridSpan w:val="5"/>
          </w:tcPr>
          <w:p w14:paraId="0DEDFF19" w14:textId="77777777" w:rsidR="00192E91" w:rsidRPr="00AE18F8" w:rsidRDefault="001147A4">
            <w:pPr>
              <w:keepNext/>
              <w:spacing w:after="60"/>
            </w:pPr>
            <w:r w:rsidRPr="00AE18F8">
              <w:rPr>
                <w:rFonts w:ascii="Calibri" w:hAnsi="Calibri"/>
                <w:sz w:val="20"/>
              </w:rPr>
              <w:t>BIC = 66.8216621427147</w:t>
            </w:r>
          </w:p>
        </w:tc>
      </w:tr>
    </w:tbl>
    <w:tbl>
      <w:tblPr>
        <w:tblStyle w:val="Table"/>
        <w:tblW w:w="5000" w:type="pct"/>
        <w:tblLayout w:type="fixed"/>
        <w:tblLook w:val="0000" w:firstRow="0" w:lastRow="0" w:firstColumn="0" w:lastColumn="0" w:noHBand="0" w:noVBand="0"/>
      </w:tblPr>
      <w:tblGrid>
        <w:gridCol w:w="9360"/>
      </w:tblGrid>
      <w:tr w:rsidR="00AE18F8" w:rsidRPr="00AE18F8" w14:paraId="0DEDFF1F" w14:textId="77777777">
        <w:tc>
          <w:tcPr>
            <w:tcW w:w="7920" w:type="dxa"/>
          </w:tcPr>
          <w:p w14:paraId="0DEDFF1B" w14:textId="77777777" w:rsidR="00192E91" w:rsidRPr="00AE18F8" w:rsidRDefault="001147A4">
            <w:pPr>
              <w:pStyle w:val="ImageCaption"/>
              <w:spacing w:before="200"/>
            </w:pPr>
            <w:bookmarkStart w:id="71" w:name="tbl-km-gamma-ch2"/>
            <w:r w:rsidRPr="00AE18F8">
              <w:t>Table 16: Survival model fit summary (gamma distribution)</w:t>
            </w:r>
          </w:p>
          <w:bookmarkEnd w:id="71"/>
          <w:p w14:paraId="0DEDFF1E" w14:textId="77777777" w:rsidR="00192E91" w:rsidRPr="00AE18F8" w:rsidRDefault="00192E91"/>
        </w:tc>
      </w:tr>
    </w:tbl>
    <w:p w14:paraId="0DEDFF20" w14:textId="77777777" w:rsidR="00192E91" w:rsidRPr="00AE18F8" w:rsidRDefault="001147A4">
      <w:r w:rsidRPr="00AE18F8">
        <w:br w:type="page"/>
      </w:r>
    </w:p>
    <w:p w14:paraId="0DEDFF21" w14:textId="77777777" w:rsidR="00192E91" w:rsidRPr="00AE18F8" w:rsidRDefault="001147A4">
      <w:pPr>
        <w:pStyle w:val="Heading4"/>
        <w:rPr>
          <w:color w:val="auto"/>
        </w:rPr>
      </w:pPr>
      <w:bookmarkStart w:id="72" w:name="gompertz-1"/>
      <w:bookmarkEnd w:id="69"/>
      <w:r w:rsidRPr="00AE18F8">
        <w:rPr>
          <w:color w:val="auto"/>
        </w:rPr>
        <w:lastRenderedPageBreak/>
        <w:t>Gompertz</w:t>
      </w:r>
    </w:p>
    <w:tbl>
      <w:tblPr>
        <w:tblStyle w:val="Table"/>
        <w:tblW w:w="5000" w:type="pct"/>
        <w:tblLayout w:type="fixed"/>
        <w:tblLook w:val="0000" w:firstRow="0" w:lastRow="0" w:firstColumn="0" w:lastColumn="0" w:noHBand="0" w:noVBand="0"/>
      </w:tblPr>
      <w:tblGrid>
        <w:gridCol w:w="9360"/>
      </w:tblGrid>
      <w:tr w:rsidR="00AE18F8" w:rsidRPr="00AE18F8" w14:paraId="0DEDFF24" w14:textId="77777777" w:rsidTr="003C66C2">
        <w:tc>
          <w:tcPr>
            <w:tcW w:w="7920" w:type="dxa"/>
          </w:tcPr>
          <w:p w14:paraId="0DEDFF22" w14:textId="77777777" w:rsidR="00192E91" w:rsidRPr="00AE18F8" w:rsidRDefault="001147A4">
            <w:pPr>
              <w:pStyle w:val="Compact"/>
              <w:jc w:val="center"/>
            </w:pPr>
            <w:bookmarkStart w:id="73" w:name="fig-km-gompertz-ch2"/>
            <w:r w:rsidRPr="00AE18F8">
              <w:rPr>
                <w:noProof/>
              </w:rPr>
              <w:drawing>
                <wp:inline distT="0" distB="0" distL="0" distR="0" wp14:anchorId="0DEDFF67" wp14:editId="0DEDFF68">
                  <wp:extent cx="5943600" cy="3657600"/>
                  <wp:effectExtent l="0" t="0" r="0" b="0"/>
                  <wp:docPr id="146" name="Picture" title="A Kaplan-Meier plot showing overall survival over time for individuals who have received venetoclax with ibrutinib, with an overlaid Gompertz model fit."/>
                  <wp:cNvGraphicFramePr/>
                  <a:graphic xmlns:a="http://schemas.openxmlformats.org/drawingml/2006/main">
                    <a:graphicData uri="http://schemas.openxmlformats.org/drawingml/2006/picture">
                      <pic:pic xmlns:pic="http://schemas.openxmlformats.org/drawingml/2006/picture">
                        <pic:nvPicPr>
                          <pic:cNvPr id="147" name="Picture" descr="ID6232_veno_veni_cll_monthly._ss_files/figure-docx/fig-km-gompertz-ch2-1.png"/>
                          <pic:cNvPicPr>
                            <a:picLocks noChangeAspect="1" noChangeArrowheads="1"/>
                          </pic:cNvPicPr>
                        </pic:nvPicPr>
                        <pic:blipFill>
                          <a:blip r:embed="rId27"/>
                          <a:stretch>
                            <a:fillRect/>
                          </a:stretch>
                        </pic:blipFill>
                        <pic:spPr bwMode="auto">
                          <a:xfrm>
                            <a:off x="0" y="0"/>
                            <a:ext cx="5943600" cy="3657600"/>
                          </a:xfrm>
                          <a:prstGeom prst="rect">
                            <a:avLst/>
                          </a:prstGeom>
                          <a:noFill/>
                          <a:ln w="9525">
                            <a:noFill/>
                            <a:headEnd/>
                            <a:tailEnd/>
                          </a:ln>
                        </pic:spPr>
                      </pic:pic>
                    </a:graphicData>
                  </a:graphic>
                </wp:inline>
              </w:drawing>
            </w:r>
          </w:p>
          <w:p w14:paraId="0DEDFF23" w14:textId="5A594544" w:rsidR="00192E91" w:rsidRPr="00AE18F8" w:rsidRDefault="001147A4">
            <w:pPr>
              <w:pStyle w:val="ImageCaption"/>
              <w:spacing w:before="200"/>
            </w:pPr>
            <w:r w:rsidRPr="00AE18F8">
              <w:t>Figure </w:t>
            </w:r>
            <w:r w:rsidR="002943AD" w:rsidRPr="00AE18F8">
              <w:t>21</w:t>
            </w:r>
            <w:r w:rsidRPr="00AE18F8">
              <w:t>: Overall survival against Gompertz survival function</w:t>
            </w:r>
          </w:p>
        </w:tc>
        <w:bookmarkEnd w:id="73"/>
      </w:tr>
    </w:tbl>
    <w:p w14:paraId="0DEDFF25" w14:textId="77777777" w:rsidR="00192E91" w:rsidRPr="00AE18F8" w:rsidRDefault="00192E91">
      <w:pPr>
        <w:pStyle w:val="BodyText"/>
      </w:pPr>
    </w:p>
    <w:tbl>
      <w:tblPr>
        <w:tblW w:w="0" w:type="auto"/>
        <w:jc w:val="center"/>
        <w:tblCellMar>
          <w:left w:w="60" w:type="dxa"/>
          <w:right w:w="60" w:type="dxa"/>
        </w:tblCellMar>
        <w:tblLook w:val="0000" w:firstRow="0" w:lastRow="0" w:firstColumn="0" w:lastColumn="0" w:noHBand="0" w:noVBand="0"/>
      </w:tblPr>
      <w:tblGrid>
        <w:gridCol w:w="981"/>
        <w:gridCol w:w="831"/>
        <w:gridCol w:w="892"/>
        <w:gridCol w:w="1347"/>
        <w:gridCol w:w="1083"/>
      </w:tblGrid>
      <w:tr w:rsidR="00AE18F8" w:rsidRPr="00AE18F8" w14:paraId="0DEDFF2B" w14:textId="77777777">
        <w:trPr>
          <w:cantSplit/>
          <w:tblHeader/>
          <w:jc w:val="center"/>
        </w:trPr>
        <w:tc>
          <w:tcPr>
            <w:tcW w:w="0" w:type="auto"/>
            <w:tcBorders>
              <w:top w:val="single" w:sz="16" w:space="0" w:color="D3D3D3"/>
              <w:left w:val="single" w:sz="0" w:space="0" w:color="D3D3D3"/>
              <w:bottom w:val="single" w:sz="16" w:space="0" w:color="D3D3D3"/>
            </w:tcBorders>
          </w:tcPr>
          <w:p w14:paraId="0DEDFF26" w14:textId="77777777" w:rsidR="00192E91" w:rsidRPr="00AE18F8" w:rsidRDefault="001147A4">
            <w:pPr>
              <w:keepNext/>
              <w:spacing w:after="60"/>
            </w:pPr>
            <w:r w:rsidRPr="00AE18F8">
              <w:rPr>
                <w:rFonts w:ascii="Calibri" w:hAnsi="Calibri"/>
                <w:sz w:val="20"/>
              </w:rPr>
              <w:t>Parameter</w:t>
            </w:r>
          </w:p>
        </w:tc>
        <w:tc>
          <w:tcPr>
            <w:tcW w:w="0" w:type="auto"/>
            <w:tcBorders>
              <w:top w:val="single" w:sz="16" w:space="0" w:color="D3D3D3"/>
              <w:bottom w:val="single" w:sz="16" w:space="0" w:color="D3D3D3"/>
            </w:tcBorders>
          </w:tcPr>
          <w:p w14:paraId="0DEDFF27" w14:textId="77777777" w:rsidR="00192E91" w:rsidRPr="00AE18F8" w:rsidRDefault="001147A4">
            <w:pPr>
              <w:keepNext/>
              <w:spacing w:after="60"/>
              <w:jc w:val="right"/>
            </w:pPr>
            <w:r w:rsidRPr="00AE18F8">
              <w:rPr>
                <w:rFonts w:ascii="Calibri" w:hAnsi="Calibri"/>
                <w:sz w:val="20"/>
              </w:rPr>
              <w:t>Estimate</w:t>
            </w:r>
          </w:p>
        </w:tc>
        <w:tc>
          <w:tcPr>
            <w:tcW w:w="0" w:type="auto"/>
            <w:tcBorders>
              <w:top w:val="single" w:sz="16" w:space="0" w:color="D3D3D3"/>
              <w:bottom w:val="single" w:sz="16" w:space="0" w:color="D3D3D3"/>
            </w:tcBorders>
          </w:tcPr>
          <w:p w14:paraId="0DEDFF28" w14:textId="77777777" w:rsidR="00192E91" w:rsidRPr="00AE18F8" w:rsidRDefault="001147A4">
            <w:pPr>
              <w:keepNext/>
              <w:spacing w:after="60"/>
              <w:jc w:val="right"/>
            </w:pPr>
            <w:r w:rsidRPr="00AE18F8">
              <w:rPr>
                <w:rFonts w:ascii="Calibri" w:hAnsi="Calibri"/>
                <w:sz w:val="20"/>
              </w:rPr>
              <w:t>Std. Error</w:t>
            </w:r>
          </w:p>
        </w:tc>
        <w:tc>
          <w:tcPr>
            <w:tcW w:w="0" w:type="auto"/>
            <w:tcBorders>
              <w:top w:val="single" w:sz="16" w:space="0" w:color="D3D3D3"/>
              <w:bottom w:val="single" w:sz="16" w:space="0" w:color="D3D3D3"/>
            </w:tcBorders>
          </w:tcPr>
          <w:p w14:paraId="0DEDFF29" w14:textId="77777777" w:rsidR="00192E91" w:rsidRPr="00AE18F8" w:rsidRDefault="001147A4">
            <w:pPr>
              <w:keepNext/>
              <w:spacing w:after="60"/>
              <w:jc w:val="right"/>
            </w:pPr>
            <w:r w:rsidRPr="00AE18F8">
              <w:rPr>
                <w:rFonts w:ascii="Calibri" w:hAnsi="Calibri"/>
                <w:sz w:val="20"/>
              </w:rPr>
              <w:t>L95.</w:t>
            </w:r>
          </w:p>
        </w:tc>
        <w:tc>
          <w:tcPr>
            <w:tcW w:w="0" w:type="auto"/>
            <w:tcBorders>
              <w:top w:val="single" w:sz="16" w:space="0" w:color="D3D3D3"/>
              <w:bottom w:val="single" w:sz="16" w:space="0" w:color="D3D3D3"/>
              <w:right w:val="single" w:sz="0" w:space="0" w:color="D3D3D3"/>
            </w:tcBorders>
          </w:tcPr>
          <w:p w14:paraId="0DEDFF2A" w14:textId="77777777" w:rsidR="00192E91" w:rsidRPr="00AE18F8" w:rsidRDefault="001147A4">
            <w:pPr>
              <w:keepNext/>
              <w:spacing w:after="60"/>
              <w:jc w:val="right"/>
            </w:pPr>
            <w:r w:rsidRPr="00AE18F8">
              <w:rPr>
                <w:rFonts w:ascii="Calibri" w:hAnsi="Calibri"/>
                <w:sz w:val="20"/>
              </w:rPr>
              <w:t>U95.</w:t>
            </w:r>
          </w:p>
        </w:tc>
      </w:tr>
      <w:tr w:rsidR="00AE18F8" w:rsidRPr="00AE18F8" w14:paraId="0DEDFF3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F2C" w14:textId="77777777" w:rsidR="00192E91" w:rsidRPr="00AE18F8" w:rsidRDefault="001147A4">
            <w:pPr>
              <w:keepNext/>
              <w:spacing w:after="60"/>
            </w:pPr>
            <w:r w:rsidRPr="00AE18F8">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0DEDFF2D" w14:textId="77777777" w:rsidR="00192E91" w:rsidRPr="00AE18F8" w:rsidRDefault="001147A4">
            <w:pPr>
              <w:keepNext/>
              <w:spacing w:after="60"/>
              <w:jc w:val="right"/>
            </w:pPr>
            <w:r w:rsidRPr="00AE18F8">
              <w:rPr>
                <w:rFonts w:ascii="Calibri" w:hAnsi="Calibri"/>
                <w:sz w:val="20"/>
              </w:rPr>
              <w:t>-0.010</w:t>
            </w:r>
          </w:p>
        </w:tc>
        <w:tc>
          <w:tcPr>
            <w:tcW w:w="0" w:type="auto"/>
            <w:tcBorders>
              <w:top w:val="single" w:sz="0" w:space="0" w:color="D3D3D3"/>
              <w:left w:val="single" w:sz="0" w:space="0" w:color="D3D3D3"/>
              <w:bottom w:val="single" w:sz="0" w:space="0" w:color="D3D3D3"/>
              <w:right w:val="single" w:sz="0" w:space="0" w:color="D3D3D3"/>
            </w:tcBorders>
          </w:tcPr>
          <w:p w14:paraId="0DEDFF2E" w14:textId="77777777" w:rsidR="00192E91" w:rsidRPr="00AE18F8" w:rsidRDefault="001147A4">
            <w:pPr>
              <w:keepNext/>
              <w:spacing w:after="60"/>
              <w:jc w:val="right"/>
            </w:pPr>
            <w:r w:rsidRPr="00AE18F8">
              <w:rPr>
                <w:rFonts w:ascii="Calibri" w:hAnsi="Calibri"/>
                <w:sz w:val="20"/>
              </w:rPr>
              <w:t>0.075</w:t>
            </w:r>
          </w:p>
        </w:tc>
        <w:tc>
          <w:tcPr>
            <w:tcW w:w="0" w:type="auto"/>
            <w:tcBorders>
              <w:top w:val="single" w:sz="0" w:space="0" w:color="D3D3D3"/>
              <w:left w:val="single" w:sz="0" w:space="0" w:color="D3D3D3"/>
              <w:bottom w:val="single" w:sz="0" w:space="0" w:color="D3D3D3"/>
              <w:right w:val="single" w:sz="0" w:space="0" w:color="D3D3D3"/>
            </w:tcBorders>
          </w:tcPr>
          <w:p w14:paraId="0DEDFF2F" w14:textId="77777777" w:rsidR="00192E91" w:rsidRPr="00AE18F8" w:rsidRDefault="001147A4">
            <w:pPr>
              <w:keepNext/>
              <w:spacing w:after="60"/>
              <w:jc w:val="right"/>
            </w:pPr>
            <w:r w:rsidRPr="00AE18F8">
              <w:rPr>
                <w:rFonts w:ascii="Calibri" w:hAnsi="Calibri"/>
                <w:sz w:val="20"/>
              </w:rPr>
              <w:t>-0.1565310504</w:t>
            </w:r>
          </w:p>
        </w:tc>
        <w:tc>
          <w:tcPr>
            <w:tcW w:w="0" w:type="auto"/>
            <w:tcBorders>
              <w:top w:val="single" w:sz="0" w:space="0" w:color="D3D3D3"/>
              <w:left w:val="single" w:sz="0" w:space="0" w:color="D3D3D3"/>
              <w:bottom w:val="single" w:sz="0" w:space="0" w:color="D3D3D3"/>
              <w:right w:val="single" w:sz="0" w:space="0" w:color="D3D3D3"/>
            </w:tcBorders>
          </w:tcPr>
          <w:p w14:paraId="0DEDFF30" w14:textId="77777777" w:rsidR="00192E91" w:rsidRPr="00AE18F8" w:rsidRDefault="001147A4">
            <w:pPr>
              <w:keepNext/>
              <w:spacing w:after="60"/>
              <w:jc w:val="right"/>
            </w:pPr>
            <w:r w:rsidRPr="00AE18F8">
              <w:rPr>
                <w:rFonts w:ascii="Calibri" w:hAnsi="Calibri"/>
                <w:sz w:val="20"/>
              </w:rPr>
              <w:t>0.13663149</w:t>
            </w:r>
          </w:p>
        </w:tc>
      </w:tr>
      <w:tr w:rsidR="00AE18F8" w:rsidRPr="00AE18F8" w14:paraId="0DEDFF3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DEDFF32" w14:textId="77777777" w:rsidR="00192E91" w:rsidRPr="00AE18F8" w:rsidRDefault="001147A4">
            <w:pPr>
              <w:keepNext/>
              <w:spacing w:after="60"/>
            </w:pPr>
            <w:r w:rsidRPr="00AE18F8">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0DEDFF33" w14:textId="77777777" w:rsidR="00192E91" w:rsidRPr="00AE18F8" w:rsidRDefault="001147A4">
            <w:pPr>
              <w:keepNext/>
              <w:spacing w:after="60"/>
              <w:jc w:val="right"/>
            </w:pPr>
            <w:r w:rsidRPr="00AE18F8">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0DEDFF34" w14:textId="77777777" w:rsidR="00192E91" w:rsidRPr="00AE18F8" w:rsidRDefault="001147A4">
            <w:pPr>
              <w:keepNext/>
              <w:spacing w:after="60"/>
              <w:jc w:val="right"/>
            </w:pPr>
            <w:r w:rsidRPr="00AE18F8">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0DEDFF35" w14:textId="77777777" w:rsidR="00192E91" w:rsidRPr="00AE18F8" w:rsidRDefault="001147A4">
            <w:pPr>
              <w:keepNext/>
              <w:spacing w:after="60"/>
              <w:jc w:val="right"/>
            </w:pPr>
            <w:r w:rsidRPr="00AE18F8">
              <w:rPr>
                <w:rFonts w:ascii="Calibri" w:hAnsi="Calibri"/>
                <w:sz w:val="20"/>
              </w:rPr>
              <w:t>0.0003906724</w:t>
            </w:r>
          </w:p>
        </w:tc>
        <w:tc>
          <w:tcPr>
            <w:tcW w:w="0" w:type="auto"/>
            <w:tcBorders>
              <w:top w:val="single" w:sz="0" w:space="0" w:color="D3D3D3"/>
              <w:left w:val="single" w:sz="0" w:space="0" w:color="D3D3D3"/>
              <w:bottom w:val="single" w:sz="0" w:space="0" w:color="D3D3D3"/>
              <w:right w:val="single" w:sz="0" w:space="0" w:color="D3D3D3"/>
            </w:tcBorders>
          </w:tcPr>
          <w:p w14:paraId="0DEDFF36" w14:textId="77777777" w:rsidR="00192E91" w:rsidRPr="00AE18F8" w:rsidRDefault="001147A4">
            <w:pPr>
              <w:keepNext/>
              <w:spacing w:after="60"/>
              <w:jc w:val="right"/>
            </w:pPr>
            <w:r w:rsidRPr="00AE18F8">
              <w:rPr>
                <w:rFonts w:ascii="Calibri" w:hAnsi="Calibri"/>
                <w:sz w:val="20"/>
              </w:rPr>
              <w:t>0.01285556</w:t>
            </w:r>
          </w:p>
        </w:tc>
      </w:tr>
      <w:tr w:rsidR="00AE18F8" w:rsidRPr="00AE18F8" w14:paraId="0DEDFF39" w14:textId="77777777">
        <w:trPr>
          <w:cantSplit/>
          <w:jc w:val="center"/>
        </w:trPr>
        <w:tc>
          <w:tcPr>
            <w:tcW w:w="0" w:type="auto"/>
            <w:gridSpan w:val="5"/>
          </w:tcPr>
          <w:p w14:paraId="0DEDFF38" w14:textId="77777777" w:rsidR="00192E91" w:rsidRPr="00AE18F8" w:rsidRDefault="001147A4">
            <w:pPr>
              <w:keepNext/>
              <w:spacing w:after="60"/>
            </w:pPr>
            <w:r w:rsidRPr="00AE18F8">
              <w:rPr>
                <w:rFonts w:ascii="Calibri" w:hAnsi="Calibri"/>
                <w:sz w:val="20"/>
              </w:rPr>
              <w:t>log-likelihood = -28.7958623310017</w:t>
            </w:r>
          </w:p>
        </w:tc>
      </w:tr>
      <w:tr w:rsidR="00AE18F8" w:rsidRPr="00AE18F8" w14:paraId="0DEDFF3B" w14:textId="77777777">
        <w:trPr>
          <w:cantSplit/>
          <w:jc w:val="center"/>
        </w:trPr>
        <w:tc>
          <w:tcPr>
            <w:tcW w:w="0" w:type="auto"/>
            <w:gridSpan w:val="5"/>
          </w:tcPr>
          <w:p w14:paraId="0DEDFF3A" w14:textId="77777777" w:rsidR="00192E91" w:rsidRPr="00AE18F8" w:rsidRDefault="001147A4">
            <w:pPr>
              <w:keepNext/>
              <w:spacing w:after="60"/>
            </w:pPr>
            <w:r w:rsidRPr="00AE18F8">
              <w:rPr>
                <w:rFonts w:ascii="Calibri" w:hAnsi="Calibri"/>
                <w:sz w:val="20"/>
              </w:rPr>
              <w:t>AIC = 61.5917246620033</w:t>
            </w:r>
          </w:p>
        </w:tc>
      </w:tr>
      <w:tr w:rsidR="00AE18F8" w:rsidRPr="00AE18F8" w14:paraId="0DEDFF3D" w14:textId="77777777">
        <w:trPr>
          <w:cantSplit/>
          <w:jc w:val="center"/>
        </w:trPr>
        <w:tc>
          <w:tcPr>
            <w:tcW w:w="0" w:type="auto"/>
            <w:gridSpan w:val="5"/>
          </w:tcPr>
          <w:p w14:paraId="0DEDFF3C" w14:textId="77777777" w:rsidR="00192E91" w:rsidRPr="00AE18F8" w:rsidRDefault="001147A4">
            <w:pPr>
              <w:keepNext/>
              <w:spacing w:after="60"/>
            </w:pPr>
            <w:r w:rsidRPr="00AE18F8">
              <w:rPr>
                <w:rFonts w:ascii="Calibri" w:hAnsi="Calibri"/>
                <w:sz w:val="20"/>
              </w:rPr>
              <w:t>BIC = 66.9559871162517</w:t>
            </w:r>
          </w:p>
        </w:tc>
      </w:tr>
    </w:tbl>
    <w:tbl>
      <w:tblPr>
        <w:tblStyle w:val="Table"/>
        <w:tblW w:w="5000" w:type="pct"/>
        <w:tblLayout w:type="fixed"/>
        <w:tblLook w:val="0020" w:firstRow="1" w:lastRow="0" w:firstColumn="0" w:lastColumn="0" w:noHBand="0" w:noVBand="0"/>
      </w:tblPr>
      <w:tblGrid>
        <w:gridCol w:w="9360"/>
      </w:tblGrid>
      <w:tr w:rsidR="00AE18F8" w:rsidRPr="00AE18F8" w14:paraId="0DEDFF42" w14:textId="77777777" w:rsidTr="003C66C2">
        <w:trPr>
          <w:cnfStyle w:val="100000000000" w:firstRow="1" w:lastRow="0" w:firstColumn="0" w:lastColumn="0" w:oddVBand="0" w:evenVBand="0" w:oddHBand="0" w:evenHBand="0" w:firstRowFirstColumn="0" w:firstRowLastColumn="0" w:lastRowFirstColumn="0" w:lastRowLastColumn="0"/>
        </w:trPr>
        <w:tc>
          <w:tcPr>
            <w:tcW w:w="7920" w:type="dxa"/>
          </w:tcPr>
          <w:p w14:paraId="0DEDFF3E" w14:textId="77777777" w:rsidR="00192E91" w:rsidRPr="00AE18F8" w:rsidRDefault="001147A4">
            <w:pPr>
              <w:pStyle w:val="ImageCaption"/>
              <w:spacing w:before="200"/>
            </w:pPr>
            <w:bookmarkStart w:id="74" w:name="tbl-km-Gompertz-ch2"/>
            <w:r w:rsidRPr="00AE18F8">
              <w:t>Table 17: Survival model fit summary (Gompertz distribution)</w:t>
            </w:r>
          </w:p>
          <w:bookmarkEnd w:id="74"/>
          <w:p w14:paraId="0DEDFF41" w14:textId="77777777" w:rsidR="00192E91" w:rsidRPr="00AE18F8" w:rsidRDefault="00192E91"/>
        </w:tc>
      </w:tr>
      <w:bookmarkEnd w:id="40"/>
      <w:bookmarkEnd w:id="47"/>
      <w:bookmarkEnd w:id="51"/>
      <w:bookmarkEnd w:id="72"/>
    </w:tbl>
    <w:p w14:paraId="0DEDFF43" w14:textId="77777777" w:rsidR="00D53698" w:rsidRPr="00AE18F8" w:rsidRDefault="00D53698"/>
    <w:sectPr w:rsidR="00D53698" w:rsidRPr="00AE18F8">
      <w:headerReference w:type="default" r:id="rId28"/>
      <w:footerReference w:type="default" r:id="rId2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31566C" w14:textId="77777777" w:rsidR="00D53698" w:rsidRDefault="00D53698">
      <w:pPr>
        <w:spacing w:after="0"/>
      </w:pPr>
      <w:r>
        <w:separator/>
      </w:r>
    </w:p>
  </w:endnote>
  <w:endnote w:type="continuationSeparator" w:id="0">
    <w:p w14:paraId="1E45FD65" w14:textId="77777777" w:rsidR="00D53698" w:rsidRDefault="00D536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DFF6A" w14:textId="77777777" w:rsidR="00E365A2" w:rsidRDefault="007517DE" w:rsidP="007517D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76C67" w14:textId="77777777" w:rsidR="00D53698" w:rsidRDefault="00D53698">
      <w:pPr>
        <w:spacing w:after="0"/>
      </w:pPr>
      <w:r>
        <w:separator/>
      </w:r>
    </w:p>
  </w:footnote>
  <w:footnote w:type="continuationSeparator" w:id="0">
    <w:p w14:paraId="1BDF4F21" w14:textId="77777777" w:rsidR="00D53698" w:rsidRDefault="00D53698">
      <w:pPr>
        <w:spacing w:after="0"/>
      </w:pPr>
      <w:r>
        <w:continuationSeparator/>
      </w:r>
    </w:p>
  </w:footnote>
  <w:footnote w:id="1">
    <w:p w14:paraId="0DEDFF6F" w14:textId="77777777" w:rsidR="00192E91" w:rsidRDefault="001147A4">
      <w:pPr>
        <w:pStyle w:val="FootnoteText"/>
      </w:pPr>
      <w:r>
        <w:rPr>
          <w:rStyle w:val="FootnoteReference"/>
        </w:rPr>
        <w:footnoteRef/>
      </w:r>
      <w:r>
        <w:t xml:space="preserve"> Chloe J. Bright et al., “Data Resource Profile: The Systemic Anti-Cancer Therapy (SACT) dataset,” </w:t>
      </w:r>
      <w:r>
        <w:rPr>
          <w:i/>
          <w:iCs/>
        </w:rPr>
        <w:t>International Journal of Epidemiology</w:t>
      </w:r>
      <w:r>
        <w:t xml:space="preserve"> 49, no. 1 (February 2020): 15–15l, </w:t>
      </w:r>
      <w:hyperlink r:id="rId1">
        <w:r w:rsidR="00192E91" w:rsidRPr="00AE18F8">
          <w:rPr>
            <w:rStyle w:val="Hyperlink"/>
            <w:color w:val="auto"/>
          </w:rPr>
          <w:t>https://dx.doi.org/10.1093/ije/dyz137</w:t>
        </w:r>
      </w:hyperlink>
      <w:r>
        <w:t>.</w:t>
      </w:r>
    </w:p>
  </w:footnote>
  <w:footnote w:id="2">
    <w:p w14:paraId="0DEDFF70" w14:textId="77777777" w:rsidR="00192E91" w:rsidRDefault="001147A4">
      <w:pPr>
        <w:pStyle w:val="FootnoteText"/>
      </w:pPr>
      <w:r>
        <w:rPr>
          <w:rStyle w:val="FootnoteReference"/>
        </w:rPr>
        <w:footnoteRef/>
      </w:r>
      <w:r>
        <w:t xml:space="preserve"> </w:t>
      </w:r>
      <w:r>
        <w:rPr>
          <w:i/>
          <w:iCs/>
        </w:rPr>
        <w:t>NICE health technology evaluations: the manual (2025) NICE process and methods PMG36. Last updated 23 October 2025</w:t>
      </w:r>
      <w:r>
        <w:t xml:space="preserve">, n.d., </w:t>
      </w:r>
      <w:hyperlink r:id="rId2">
        <w:r w:rsidR="00192E91" w:rsidRPr="00AE18F8">
          <w:rPr>
            <w:rStyle w:val="Hyperlink"/>
            <w:color w:val="auto"/>
          </w:rPr>
          <w:t>https://www.nice.org.uk/process/pmg36</w:t>
        </w:r>
      </w:hyperlink>
      <w:r>
        <w:t>.</w:t>
      </w:r>
    </w:p>
  </w:footnote>
  <w:footnote w:id="3">
    <w:p w14:paraId="0DEDFF71" w14:textId="77777777" w:rsidR="00192E91" w:rsidRDefault="001147A4">
      <w:pPr>
        <w:pStyle w:val="FootnoteText"/>
      </w:pPr>
      <w:r>
        <w:rPr>
          <w:rStyle w:val="FootnoteReference"/>
        </w:rPr>
        <w:footnoteRef/>
      </w:r>
      <w:r>
        <w:t xml:space="preserve"> Latimer Nicholas, </w:t>
      </w:r>
      <w:r>
        <w:rPr>
          <w:i/>
          <w:iCs/>
        </w:rPr>
        <w:t>NICE DSU Technical Support Document 14: Undertaking survival analysis for economic evaluations alongside clinical trials - extrapolation with patient-level data</w:t>
      </w:r>
      <w:r>
        <w:t xml:space="preserve">, 2011, </w:t>
      </w:r>
      <w:hyperlink r:id="rId3">
        <w:r w:rsidR="00192E91" w:rsidRPr="00AE18F8">
          <w:rPr>
            <w:rStyle w:val="Hyperlink"/>
            <w:color w:val="auto"/>
          </w:rPr>
          <w:t>http://www.nicedsu.org.uk/</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DFF69" w14:textId="77777777" w:rsidR="00FC2CEC" w:rsidRDefault="00FC2CEC">
    <w:pPr>
      <w:pStyle w:val="Header"/>
    </w:pPr>
    <w:r w:rsidRPr="000E748E">
      <w:rPr>
        <w:noProof/>
      </w:rPr>
      <w:drawing>
        <wp:anchor distT="0" distB="0" distL="114300" distR="114300" simplePos="0" relativeHeight="251661312" behindDoc="1" locked="0" layoutInCell="1" allowOverlap="1" wp14:anchorId="0DEDFF6B" wp14:editId="0DEDFF6C">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0DEDFF6D" wp14:editId="0DEDFF6E">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A8E9A8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FF12F5E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D1AE6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69A17D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51C0D5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CC423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E0CA32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788A82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040874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4C0F8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1126389124">
    <w:abstractNumId w:val="10"/>
  </w:num>
  <w:num w:numId="2" w16cid:durableId="1085616903">
    <w:abstractNumId w:val="11"/>
  </w:num>
  <w:num w:numId="3" w16cid:durableId="323628995">
    <w:abstractNumId w:val="11"/>
  </w:num>
  <w:num w:numId="4" w16cid:durableId="1691493126">
    <w:abstractNumId w:val="9"/>
  </w:num>
  <w:num w:numId="5" w16cid:durableId="1004942455">
    <w:abstractNumId w:val="7"/>
  </w:num>
  <w:num w:numId="6" w16cid:durableId="2066373257">
    <w:abstractNumId w:val="6"/>
  </w:num>
  <w:num w:numId="7" w16cid:durableId="620068494">
    <w:abstractNumId w:val="5"/>
  </w:num>
  <w:num w:numId="8" w16cid:durableId="1753578916">
    <w:abstractNumId w:val="4"/>
  </w:num>
  <w:num w:numId="9" w16cid:durableId="1044331384">
    <w:abstractNumId w:val="8"/>
  </w:num>
  <w:num w:numId="10" w16cid:durableId="2098357689">
    <w:abstractNumId w:val="3"/>
  </w:num>
  <w:num w:numId="11" w16cid:durableId="1892958354">
    <w:abstractNumId w:val="2"/>
  </w:num>
  <w:num w:numId="12" w16cid:durableId="1202130505">
    <w:abstractNumId w:val="1"/>
  </w:num>
  <w:num w:numId="13" w16cid:durableId="984317019">
    <w:abstractNumId w:val="0"/>
  </w:num>
  <w:num w:numId="14" w16cid:durableId="1882017738">
    <w:abstractNumId w:val="10"/>
  </w:num>
  <w:num w:numId="15" w16cid:durableId="1666784414">
    <w:abstractNumId w:val="11"/>
  </w:num>
  <w:num w:numId="16" w16cid:durableId="1402482582">
    <w:abstractNumId w:val="11"/>
  </w:num>
  <w:num w:numId="17" w16cid:durableId="1688750402">
    <w:abstractNumId w:val="11"/>
  </w:num>
  <w:num w:numId="18" w16cid:durableId="1269314854">
    <w:abstractNumId w:val="11"/>
  </w:num>
  <w:num w:numId="19" w16cid:durableId="19420293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32B"/>
    <w:rsid w:val="0002132B"/>
    <w:rsid w:val="000579B6"/>
    <w:rsid w:val="001147A4"/>
    <w:rsid w:val="00133BDE"/>
    <w:rsid w:val="001437CD"/>
    <w:rsid w:val="00192E91"/>
    <w:rsid w:val="0021390E"/>
    <w:rsid w:val="002703C1"/>
    <w:rsid w:val="002943AD"/>
    <w:rsid w:val="002B6EC4"/>
    <w:rsid w:val="002E0FD7"/>
    <w:rsid w:val="00396F6C"/>
    <w:rsid w:val="003B45EF"/>
    <w:rsid w:val="003C66C2"/>
    <w:rsid w:val="00571539"/>
    <w:rsid w:val="005A4AA4"/>
    <w:rsid w:val="005C0A59"/>
    <w:rsid w:val="00683074"/>
    <w:rsid w:val="006B5916"/>
    <w:rsid w:val="007517DE"/>
    <w:rsid w:val="007656B1"/>
    <w:rsid w:val="007A5BF7"/>
    <w:rsid w:val="007B14AF"/>
    <w:rsid w:val="00836486"/>
    <w:rsid w:val="008940D4"/>
    <w:rsid w:val="008A51FA"/>
    <w:rsid w:val="00A26B49"/>
    <w:rsid w:val="00AE18F8"/>
    <w:rsid w:val="00B23E74"/>
    <w:rsid w:val="00B51A40"/>
    <w:rsid w:val="00B74C36"/>
    <w:rsid w:val="00B778BD"/>
    <w:rsid w:val="00CB10C8"/>
    <w:rsid w:val="00CF59BF"/>
    <w:rsid w:val="00D53698"/>
    <w:rsid w:val="00E365A2"/>
    <w:rsid w:val="00F50627"/>
    <w:rsid w:val="00FC2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DFCC7"/>
  <w15:docId w15:val="{6FF8ED6A-A73C-4441-B3DB-6307FB689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CB10C8"/>
    <w:pPr>
      <w:keepNext/>
      <w:keepLines/>
      <w:spacing w:before="480" w:after="0"/>
      <w:jc w:val="center"/>
      <w:outlineLvl w:val="0"/>
    </w:pPr>
    <w:rPr>
      <w:rFonts w:asciiTheme="majorHAnsi" w:eastAsiaTheme="majorEastAsia" w:hAnsiTheme="majorHAnsi" w:cstheme="majorBidi"/>
      <w:b/>
      <w:bCs/>
      <w:color w:val="4F81BD" w:themeColor="accent1"/>
      <w:sz w:val="36"/>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link w:val="Heading4Char"/>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character" w:customStyle="1" w:styleId="BodyTextChar">
    <w:name w:val="Body Text Char"/>
    <w:basedOn w:val="DefaultParagraphFont"/>
    <w:link w:val="BodyText"/>
    <w:rsid w:val="00CB10C8"/>
  </w:style>
  <w:style w:type="character" w:customStyle="1" w:styleId="Heading4Char">
    <w:name w:val="Heading 4 Char"/>
    <w:basedOn w:val="DefaultParagraphFont"/>
    <w:link w:val="Heading4"/>
    <w:uiPriority w:val="9"/>
    <w:rsid w:val="00B23E74"/>
    <w:rPr>
      <w:rFonts w:asciiTheme="majorHAnsi" w:eastAsiaTheme="majorEastAsia" w:hAnsiTheme="majorHAnsi" w:cstheme="majorBidi"/>
      <w:bCs/>
      <w:i/>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nicedsu.org.uk/" TargetMode="External"/><Relationship Id="rId2" Type="http://schemas.openxmlformats.org/officeDocument/2006/relationships/hyperlink" Target="https://www.nice.org.uk/process/pmg36" TargetMode="External"/><Relationship Id="rId1" Type="http://schemas.openxmlformats.org/officeDocument/2006/relationships/hyperlink" Target="https://dx.doi.org/10.1093/ije/dyz137"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3.png"/><Relationship Id="rId1" Type="http://schemas.openxmlformats.org/officeDocument/2006/relationships/image" Target="media/image2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27</Pages>
  <Words>2600</Words>
  <Characters>14824</Characters>
  <Application>Microsoft Office Word</Application>
  <DocSecurity>0</DocSecurity>
  <Lines>123</Lines>
  <Paragraphs>34</Paragraphs>
  <ScaleCrop>false</ScaleCrop>
  <Company>NHS</Company>
  <LinksUpToDate>false</LinksUpToDate>
  <CharactersWithSpaces>17390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THACKRAY, Katherine (NHS ENGLAND)</dc:creator>
  <cp:keywords/>
  <cp:lastModifiedBy>MAKIN, William (NHS ENGLAND)</cp:lastModifiedBy>
  <cp:revision>3</cp:revision>
  <dcterms:created xsi:type="dcterms:W3CDTF">2026-05-13T09:04:00Z</dcterms:created>
  <dcterms:modified xsi:type="dcterms:W3CDTF">2026-05-13T09:05:00Z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bibliography">
    <vt:lpwstr>ta_refs.bib</vt:lpwstr>
  </property>
  <property fmtid="{D5CDD505-2E9C-101B-9397-08002B2CF9AE}" pid="4" name="csl">
    <vt:lpwstr>chicago-note.csl</vt:lpwstr>
  </property>
  <property fmtid="{D5CDD505-2E9C-101B-9397-08002B2CF9AE}" pid="5" name="execute">
    <vt:lpwstr/>
  </property>
  <property fmtid="{D5CDD505-2E9C-101B-9397-08002B2CF9AE}" pid="6" name="fig-caption-position">
    <vt:lpwstr>top</vt:lpwstr>
  </property>
  <property fmtid="{D5CDD505-2E9C-101B-9397-08002B2CF9AE}" pid="7" name="header-includes">
    <vt:lpwstr/>
  </property>
  <property fmtid="{D5CDD505-2E9C-101B-9397-08002B2CF9AE}" pid="8" name="include-after">
    <vt:lpwstr/>
  </property>
  <property fmtid="{D5CDD505-2E9C-101B-9397-08002B2CF9AE}" pid="9" name="include-before">
    <vt:lpwstr/>
  </property>
  <property fmtid="{D5CDD505-2E9C-101B-9397-08002B2CF9AE}" pid="10" name="labels">
    <vt:lpwstr/>
  </property>
  <property fmtid="{D5CDD505-2E9C-101B-9397-08002B2CF9AE}" pid="11" name="pagetitle">
    <vt:lpwstr>Age and Overall Survival for Chronic Lymphocytic Leukemia</vt:lpwstr>
  </property>
  <property fmtid="{D5CDD505-2E9C-101B-9397-08002B2CF9AE}" pid="12" name="toc-title">
    <vt:lpwstr>Table of contents</vt:lpwstr>
  </property>
  <property fmtid="{D5CDD505-2E9C-101B-9397-08002B2CF9AE}" pid="13" name="MSIP_Label_c69d85d5-6d9e-4305-a294-1f636ec0f2d6_Enabled">
    <vt:lpwstr>true</vt:lpwstr>
  </property>
  <property fmtid="{D5CDD505-2E9C-101B-9397-08002B2CF9AE}" pid="14" name="MSIP_Label_c69d85d5-6d9e-4305-a294-1f636ec0f2d6_SetDate">
    <vt:lpwstr>2026-05-05T10:20:14Z</vt:lpwstr>
  </property>
  <property fmtid="{D5CDD505-2E9C-101B-9397-08002B2CF9AE}" pid="15" name="MSIP_Label_c69d85d5-6d9e-4305-a294-1f636ec0f2d6_Method">
    <vt:lpwstr>Standard</vt:lpwstr>
  </property>
  <property fmtid="{D5CDD505-2E9C-101B-9397-08002B2CF9AE}" pid="16" name="MSIP_Label_c69d85d5-6d9e-4305-a294-1f636ec0f2d6_Name">
    <vt:lpwstr>OFFICIAL</vt:lpwstr>
  </property>
  <property fmtid="{D5CDD505-2E9C-101B-9397-08002B2CF9AE}" pid="17" name="MSIP_Label_c69d85d5-6d9e-4305-a294-1f636ec0f2d6_SiteId">
    <vt:lpwstr>6030f479-b342-472d-a5dd-740ff7538de9</vt:lpwstr>
  </property>
  <property fmtid="{D5CDD505-2E9C-101B-9397-08002B2CF9AE}" pid="18" name="MSIP_Label_c69d85d5-6d9e-4305-a294-1f636ec0f2d6_ActionId">
    <vt:lpwstr>21408729-ceab-4f40-aca7-a97040795961</vt:lpwstr>
  </property>
  <property fmtid="{D5CDD505-2E9C-101B-9397-08002B2CF9AE}" pid="19" name="MSIP_Label_c69d85d5-6d9e-4305-a294-1f636ec0f2d6_ContentBits">
    <vt:lpwstr>0</vt:lpwstr>
  </property>
  <property fmtid="{D5CDD505-2E9C-101B-9397-08002B2CF9AE}" pid="20" name="MSIP_Label_c69d85d5-6d9e-4305-a294-1f636ec0f2d6_Tag">
    <vt:lpwstr>10, 3, 0, 1</vt:lpwstr>
  </property>
</Properties>
</file>