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7DC321" w14:textId="77777777" w:rsidR="008D1124" w:rsidRDefault="008D1124">
      <w:bookmarkStart w:id="0" w:name="ndrs-nice-partnership-report"/>
    </w:p>
    <w:p w14:paraId="4E8435B3" w14:textId="23C83D92" w:rsidR="004169B2" w:rsidRPr="00EF7DCF" w:rsidRDefault="00CB0A98">
      <w:r w:rsidRPr="00EF7DCF">
        <w:t>Correction Notice:</w:t>
      </w:r>
    </w:p>
    <w:p w14:paraId="0995BADE" w14:textId="5DED3858" w:rsidR="00CB0A98" w:rsidRPr="00EF7DCF" w:rsidRDefault="00CB0A98">
      <w:r w:rsidRPr="00EF7DCF">
        <w:t xml:space="preserve">A previous version of this report </w:t>
      </w:r>
      <w:r w:rsidR="009574D1" w:rsidRPr="00EF7DCF">
        <w:t>used a</w:t>
      </w:r>
      <w:r w:rsidR="003300D3" w:rsidRPr="00EF7DCF">
        <w:t xml:space="preserve">n </w:t>
      </w:r>
      <w:r w:rsidR="00CD40D2" w:rsidRPr="00EF7DCF">
        <w:t>inconsistent</w:t>
      </w:r>
      <w:r w:rsidR="003300D3" w:rsidRPr="00EF7DCF">
        <w:t xml:space="preserve"> </w:t>
      </w:r>
      <w:r w:rsidR="003D6D1E" w:rsidRPr="00EF7DCF">
        <w:t xml:space="preserve">snapshot </w:t>
      </w:r>
      <w:r w:rsidR="00ED4A30" w:rsidRPr="00EF7DCF">
        <w:t xml:space="preserve">of registrations data, </w:t>
      </w:r>
      <w:r w:rsidR="002732C6" w:rsidRPr="00EF7DCF">
        <w:t>such that</w:t>
      </w:r>
      <w:r w:rsidR="00ED4A30" w:rsidRPr="00EF7DCF">
        <w:t xml:space="preserve"> the </w:t>
      </w:r>
      <w:r w:rsidR="009574D1" w:rsidRPr="00EF7DCF">
        <w:t xml:space="preserve">death date field </w:t>
      </w:r>
      <w:r w:rsidR="00ED4A30" w:rsidRPr="00EF7DCF">
        <w:t xml:space="preserve">did not match the censor date and </w:t>
      </w:r>
      <w:r w:rsidR="0063034C" w:rsidRPr="00EF7DCF">
        <w:t xml:space="preserve">consequently some deaths </w:t>
      </w:r>
      <w:r w:rsidR="001F0F2C" w:rsidRPr="00EF7DCF">
        <w:t xml:space="preserve">that occurred </w:t>
      </w:r>
      <w:r w:rsidR="00C62571" w:rsidRPr="00EF7DCF">
        <w:t xml:space="preserve">prior to the censor date </w:t>
      </w:r>
      <w:r w:rsidR="0063034C" w:rsidRPr="00EF7DCF">
        <w:t xml:space="preserve">were </w:t>
      </w:r>
      <w:r w:rsidR="00C62571" w:rsidRPr="00EF7DCF">
        <w:t>not captured</w:t>
      </w:r>
      <w:r w:rsidR="0063034C" w:rsidRPr="00EF7DCF">
        <w:t xml:space="preserve">. </w:t>
      </w:r>
      <w:r w:rsidR="00CD4777" w:rsidRPr="00EF7DCF">
        <w:t xml:space="preserve">We have republished the corrected report, along with this summary </w:t>
      </w:r>
      <w:r w:rsidR="004D107B" w:rsidRPr="00EF7DCF">
        <w:t xml:space="preserve">table </w:t>
      </w:r>
      <w:r w:rsidR="00CD4777" w:rsidRPr="00EF7DCF">
        <w:t>of the changes</w:t>
      </w:r>
      <w:r w:rsidR="007430F7" w:rsidRPr="00EF7DCF">
        <w:t>:</w:t>
      </w:r>
    </w:p>
    <w:p w14:paraId="2886E9E4" w14:textId="77777777" w:rsidR="004169B2" w:rsidRPr="00EF7DCF" w:rsidRDefault="004169B2"/>
    <w:tbl>
      <w:tblPr>
        <w:tblW w:w="0" w:type="auto"/>
        <w:tblLook w:val="04A0" w:firstRow="1" w:lastRow="0" w:firstColumn="1" w:lastColumn="0" w:noHBand="0" w:noVBand="1"/>
      </w:tblPr>
      <w:tblGrid>
        <w:gridCol w:w="1959"/>
        <w:gridCol w:w="764"/>
        <w:gridCol w:w="859"/>
        <w:gridCol w:w="867"/>
        <w:gridCol w:w="975"/>
        <w:gridCol w:w="795"/>
        <w:gridCol w:w="894"/>
        <w:gridCol w:w="594"/>
        <w:gridCol w:w="794"/>
        <w:gridCol w:w="859"/>
      </w:tblGrid>
      <w:tr w:rsidR="00EF7DCF" w:rsidRPr="00EF7DCF" w14:paraId="1ED75B58" w14:textId="77777777" w:rsidTr="009478B5">
        <w:trPr>
          <w:trHeight w:val="990"/>
        </w:trPr>
        <w:tc>
          <w:tcPr>
            <w:tcW w:w="0" w:type="auto"/>
            <w:vMerge w:val="restart"/>
            <w:tcBorders>
              <w:top w:val="nil"/>
              <w:left w:val="nil"/>
              <w:bottom w:val="nil"/>
              <w:right w:val="nil"/>
            </w:tcBorders>
            <w:noWrap/>
            <w:vAlign w:val="bottom"/>
            <w:hideMark/>
          </w:tcPr>
          <w:p w14:paraId="0888058E" w14:textId="77777777" w:rsidR="009478B5" w:rsidRPr="00EF7DCF" w:rsidRDefault="009478B5" w:rsidP="009478B5">
            <w:pPr>
              <w:spacing w:after="0"/>
              <w:jc w:val="center"/>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Population</w:t>
            </w:r>
          </w:p>
        </w:tc>
        <w:tc>
          <w:tcPr>
            <w:tcW w:w="0" w:type="auto"/>
            <w:gridSpan w:val="2"/>
            <w:tcBorders>
              <w:top w:val="nil"/>
              <w:left w:val="nil"/>
              <w:bottom w:val="nil"/>
              <w:right w:val="nil"/>
            </w:tcBorders>
            <w:vAlign w:val="center"/>
            <w:hideMark/>
          </w:tcPr>
          <w:p w14:paraId="6549DE44" w14:textId="77777777" w:rsidR="009478B5" w:rsidRPr="00EF7DCF" w:rsidRDefault="009478B5" w:rsidP="009478B5">
            <w:pPr>
              <w:spacing w:after="0"/>
              <w:jc w:val="center"/>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Median OS (months)</w:t>
            </w:r>
          </w:p>
        </w:tc>
        <w:tc>
          <w:tcPr>
            <w:tcW w:w="0" w:type="auto"/>
            <w:gridSpan w:val="2"/>
            <w:tcBorders>
              <w:top w:val="nil"/>
              <w:left w:val="nil"/>
              <w:bottom w:val="nil"/>
              <w:right w:val="nil"/>
            </w:tcBorders>
            <w:vAlign w:val="center"/>
            <w:hideMark/>
          </w:tcPr>
          <w:p w14:paraId="5DE0D40F" w14:textId="77777777" w:rsidR="009478B5" w:rsidRPr="00EF7DCF" w:rsidRDefault="009478B5" w:rsidP="009478B5">
            <w:pPr>
              <w:spacing w:after="0"/>
              <w:jc w:val="center"/>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Restricted mean survival - whole curve</w:t>
            </w:r>
            <w:r w:rsidRPr="00EF7DCF">
              <w:rPr>
                <w:rFonts w:ascii="Aptos Narrow" w:eastAsia="Times New Roman" w:hAnsi="Aptos Narrow" w:cs="Times New Roman"/>
                <w:sz w:val="16"/>
                <w:szCs w:val="16"/>
                <w:lang w:val="en-GB" w:eastAsia="en-GB"/>
              </w:rPr>
              <w:br/>
              <w:t>(months)</w:t>
            </w:r>
          </w:p>
        </w:tc>
        <w:tc>
          <w:tcPr>
            <w:tcW w:w="0" w:type="auto"/>
            <w:gridSpan w:val="2"/>
            <w:tcBorders>
              <w:top w:val="nil"/>
              <w:left w:val="nil"/>
              <w:bottom w:val="nil"/>
              <w:right w:val="nil"/>
            </w:tcBorders>
            <w:vAlign w:val="center"/>
            <w:hideMark/>
          </w:tcPr>
          <w:p w14:paraId="153418DF" w14:textId="6A05748B" w:rsidR="009478B5" w:rsidRPr="00EF7DCF" w:rsidRDefault="009478B5" w:rsidP="009478B5">
            <w:pPr>
              <w:spacing w:after="0"/>
              <w:jc w:val="center"/>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 xml:space="preserve">Median </w:t>
            </w:r>
            <w:r w:rsidR="00C34823" w:rsidRPr="00EF7DCF">
              <w:rPr>
                <w:rFonts w:ascii="Aptos Narrow" w:eastAsia="Times New Roman" w:hAnsi="Aptos Narrow" w:cs="Times New Roman"/>
                <w:sz w:val="16"/>
                <w:szCs w:val="16"/>
                <w:lang w:val="en-GB" w:eastAsia="en-GB"/>
              </w:rPr>
              <w:t>f</w:t>
            </w:r>
            <w:r w:rsidRPr="00EF7DCF">
              <w:rPr>
                <w:rFonts w:ascii="Aptos Narrow" w:eastAsia="Times New Roman" w:hAnsi="Aptos Narrow" w:cs="Times New Roman"/>
                <w:sz w:val="16"/>
                <w:szCs w:val="16"/>
                <w:lang w:val="en-GB" w:eastAsia="en-GB"/>
              </w:rPr>
              <w:t>ollow-</w:t>
            </w:r>
            <w:r w:rsidR="00C34823" w:rsidRPr="00EF7DCF">
              <w:rPr>
                <w:rFonts w:ascii="Aptos Narrow" w:eastAsia="Times New Roman" w:hAnsi="Aptos Narrow" w:cs="Times New Roman"/>
                <w:sz w:val="16"/>
                <w:szCs w:val="16"/>
                <w:lang w:val="en-GB" w:eastAsia="en-GB"/>
              </w:rPr>
              <w:t>u</w:t>
            </w:r>
            <w:r w:rsidRPr="00EF7DCF">
              <w:rPr>
                <w:rFonts w:ascii="Aptos Narrow" w:eastAsia="Times New Roman" w:hAnsi="Aptos Narrow" w:cs="Times New Roman"/>
                <w:sz w:val="16"/>
                <w:szCs w:val="16"/>
                <w:lang w:val="en-GB" w:eastAsia="en-GB"/>
              </w:rPr>
              <w:t>p (</w:t>
            </w:r>
            <w:r w:rsidR="00C34823" w:rsidRPr="00EF7DCF">
              <w:rPr>
                <w:rFonts w:ascii="Aptos Narrow" w:eastAsia="Times New Roman" w:hAnsi="Aptos Narrow" w:cs="Times New Roman"/>
                <w:sz w:val="16"/>
                <w:szCs w:val="16"/>
                <w:lang w:val="en-GB" w:eastAsia="en-GB"/>
              </w:rPr>
              <w:t>m</w:t>
            </w:r>
            <w:r w:rsidRPr="00EF7DCF">
              <w:rPr>
                <w:rFonts w:ascii="Aptos Narrow" w:eastAsia="Times New Roman" w:hAnsi="Aptos Narrow" w:cs="Times New Roman"/>
                <w:sz w:val="16"/>
                <w:szCs w:val="16"/>
                <w:lang w:val="en-GB" w:eastAsia="en-GB"/>
              </w:rPr>
              <w:t>onths)</w:t>
            </w:r>
          </w:p>
        </w:tc>
        <w:tc>
          <w:tcPr>
            <w:tcW w:w="0" w:type="auto"/>
            <w:tcBorders>
              <w:top w:val="nil"/>
              <w:left w:val="nil"/>
              <w:bottom w:val="nil"/>
              <w:right w:val="nil"/>
            </w:tcBorders>
            <w:vAlign w:val="center"/>
            <w:hideMark/>
          </w:tcPr>
          <w:p w14:paraId="0AAAD930" w14:textId="77777777" w:rsidR="009478B5" w:rsidRPr="00EF7DCF" w:rsidRDefault="009478B5" w:rsidP="009478B5">
            <w:pPr>
              <w:spacing w:after="0"/>
              <w:jc w:val="center"/>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 xml:space="preserve"> At risk </w:t>
            </w:r>
          </w:p>
        </w:tc>
        <w:tc>
          <w:tcPr>
            <w:tcW w:w="0" w:type="auto"/>
            <w:tcBorders>
              <w:top w:val="nil"/>
              <w:left w:val="nil"/>
              <w:bottom w:val="nil"/>
              <w:right w:val="nil"/>
            </w:tcBorders>
            <w:vAlign w:val="center"/>
            <w:hideMark/>
          </w:tcPr>
          <w:p w14:paraId="575AC66D" w14:textId="77777777" w:rsidR="009478B5" w:rsidRPr="00EF7DCF" w:rsidRDefault="009478B5" w:rsidP="009478B5">
            <w:pPr>
              <w:spacing w:after="0"/>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 xml:space="preserve"> Events </w:t>
            </w:r>
          </w:p>
        </w:tc>
        <w:tc>
          <w:tcPr>
            <w:tcW w:w="0" w:type="auto"/>
            <w:tcBorders>
              <w:top w:val="nil"/>
              <w:left w:val="nil"/>
              <w:bottom w:val="nil"/>
              <w:right w:val="nil"/>
            </w:tcBorders>
            <w:vAlign w:val="center"/>
            <w:hideMark/>
          </w:tcPr>
          <w:p w14:paraId="507B2215" w14:textId="77777777" w:rsidR="009478B5" w:rsidRPr="00EF7DCF" w:rsidRDefault="009478B5" w:rsidP="009478B5">
            <w:pPr>
              <w:spacing w:after="0"/>
              <w:rPr>
                <w:rFonts w:ascii="Aptos Narrow" w:eastAsia="Times New Roman" w:hAnsi="Aptos Narrow" w:cs="Times New Roman"/>
                <w:sz w:val="16"/>
                <w:szCs w:val="16"/>
                <w:lang w:val="en-GB" w:eastAsia="en-GB"/>
              </w:rPr>
            </w:pPr>
          </w:p>
        </w:tc>
      </w:tr>
      <w:tr w:rsidR="00EF7DCF" w:rsidRPr="00EF7DCF" w14:paraId="11BA5AA1" w14:textId="77777777" w:rsidTr="009478B5">
        <w:trPr>
          <w:trHeight w:val="300"/>
        </w:trPr>
        <w:tc>
          <w:tcPr>
            <w:tcW w:w="0" w:type="auto"/>
            <w:vMerge/>
            <w:tcBorders>
              <w:top w:val="nil"/>
              <w:left w:val="nil"/>
              <w:bottom w:val="nil"/>
              <w:right w:val="nil"/>
            </w:tcBorders>
            <w:vAlign w:val="center"/>
            <w:hideMark/>
          </w:tcPr>
          <w:p w14:paraId="46D7FF08" w14:textId="77777777" w:rsidR="009478B5" w:rsidRPr="00EF7DCF" w:rsidRDefault="009478B5" w:rsidP="009478B5">
            <w:pPr>
              <w:spacing w:after="0"/>
              <w:rPr>
                <w:rFonts w:ascii="Aptos Narrow" w:eastAsia="Times New Roman" w:hAnsi="Aptos Narrow" w:cs="Times New Roman"/>
                <w:sz w:val="16"/>
                <w:szCs w:val="16"/>
                <w:lang w:val="en-GB" w:eastAsia="en-GB"/>
              </w:rPr>
            </w:pPr>
          </w:p>
        </w:tc>
        <w:tc>
          <w:tcPr>
            <w:tcW w:w="0" w:type="auto"/>
            <w:tcBorders>
              <w:top w:val="nil"/>
              <w:left w:val="nil"/>
              <w:bottom w:val="nil"/>
              <w:right w:val="nil"/>
            </w:tcBorders>
            <w:noWrap/>
            <w:vAlign w:val="bottom"/>
            <w:hideMark/>
          </w:tcPr>
          <w:p w14:paraId="675FBB5B" w14:textId="77777777" w:rsidR="009478B5" w:rsidRPr="00EF7DCF" w:rsidRDefault="009478B5" w:rsidP="009478B5">
            <w:pPr>
              <w:spacing w:after="0"/>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Previous</w:t>
            </w:r>
          </w:p>
        </w:tc>
        <w:tc>
          <w:tcPr>
            <w:tcW w:w="0" w:type="auto"/>
            <w:tcBorders>
              <w:top w:val="nil"/>
              <w:left w:val="nil"/>
              <w:bottom w:val="nil"/>
              <w:right w:val="nil"/>
            </w:tcBorders>
            <w:noWrap/>
            <w:vAlign w:val="bottom"/>
            <w:hideMark/>
          </w:tcPr>
          <w:p w14:paraId="5EA39003" w14:textId="77777777" w:rsidR="009478B5" w:rsidRPr="00EF7DCF" w:rsidRDefault="009478B5" w:rsidP="009478B5">
            <w:pPr>
              <w:spacing w:after="0"/>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Corrected</w:t>
            </w:r>
          </w:p>
        </w:tc>
        <w:tc>
          <w:tcPr>
            <w:tcW w:w="0" w:type="auto"/>
            <w:tcBorders>
              <w:top w:val="nil"/>
              <w:left w:val="nil"/>
              <w:bottom w:val="nil"/>
              <w:right w:val="nil"/>
            </w:tcBorders>
            <w:noWrap/>
            <w:vAlign w:val="bottom"/>
            <w:hideMark/>
          </w:tcPr>
          <w:p w14:paraId="43D8A9E4" w14:textId="77777777" w:rsidR="009478B5" w:rsidRPr="00EF7DCF" w:rsidRDefault="009478B5" w:rsidP="009478B5">
            <w:pPr>
              <w:spacing w:after="0"/>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Previous</w:t>
            </w:r>
          </w:p>
        </w:tc>
        <w:tc>
          <w:tcPr>
            <w:tcW w:w="0" w:type="auto"/>
            <w:tcBorders>
              <w:top w:val="nil"/>
              <w:left w:val="nil"/>
              <w:bottom w:val="nil"/>
              <w:right w:val="nil"/>
            </w:tcBorders>
            <w:noWrap/>
            <w:vAlign w:val="bottom"/>
            <w:hideMark/>
          </w:tcPr>
          <w:p w14:paraId="69FA71C2" w14:textId="77777777" w:rsidR="009478B5" w:rsidRPr="00EF7DCF" w:rsidRDefault="009478B5" w:rsidP="009478B5">
            <w:pPr>
              <w:spacing w:after="0"/>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Corrected</w:t>
            </w:r>
          </w:p>
        </w:tc>
        <w:tc>
          <w:tcPr>
            <w:tcW w:w="0" w:type="auto"/>
            <w:tcBorders>
              <w:top w:val="nil"/>
              <w:left w:val="nil"/>
              <w:bottom w:val="nil"/>
              <w:right w:val="nil"/>
            </w:tcBorders>
            <w:noWrap/>
            <w:vAlign w:val="bottom"/>
            <w:hideMark/>
          </w:tcPr>
          <w:p w14:paraId="47EB08D3" w14:textId="77777777" w:rsidR="009478B5" w:rsidRPr="00EF7DCF" w:rsidRDefault="009478B5" w:rsidP="009478B5">
            <w:pPr>
              <w:spacing w:after="0"/>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Previous</w:t>
            </w:r>
          </w:p>
        </w:tc>
        <w:tc>
          <w:tcPr>
            <w:tcW w:w="0" w:type="auto"/>
            <w:tcBorders>
              <w:top w:val="nil"/>
              <w:left w:val="nil"/>
              <w:bottom w:val="nil"/>
              <w:right w:val="nil"/>
            </w:tcBorders>
            <w:noWrap/>
            <w:vAlign w:val="bottom"/>
            <w:hideMark/>
          </w:tcPr>
          <w:p w14:paraId="1EBE6F54" w14:textId="77777777" w:rsidR="009478B5" w:rsidRPr="00EF7DCF" w:rsidRDefault="009478B5" w:rsidP="009478B5">
            <w:pPr>
              <w:spacing w:after="0"/>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Corrected</w:t>
            </w:r>
          </w:p>
        </w:tc>
        <w:tc>
          <w:tcPr>
            <w:tcW w:w="0" w:type="auto"/>
            <w:tcBorders>
              <w:top w:val="nil"/>
              <w:left w:val="nil"/>
              <w:bottom w:val="nil"/>
              <w:right w:val="nil"/>
            </w:tcBorders>
            <w:noWrap/>
            <w:vAlign w:val="bottom"/>
            <w:hideMark/>
          </w:tcPr>
          <w:p w14:paraId="0AC1B9D8" w14:textId="77777777" w:rsidR="009478B5" w:rsidRPr="00EF7DCF" w:rsidRDefault="009478B5" w:rsidP="009478B5">
            <w:pPr>
              <w:spacing w:after="0"/>
              <w:rPr>
                <w:rFonts w:ascii="Aptos Narrow" w:eastAsia="Times New Roman" w:hAnsi="Aptos Narrow" w:cs="Times New Roman"/>
                <w:sz w:val="16"/>
                <w:szCs w:val="16"/>
                <w:lang w:val="en-GB" w:eastAsia="en-GB"/>
              </w:rPr>
            </w:pPr>
          </w:p>
        </w:tc>
        <w:tc>
          <w:tcPr>
            <w:tcW w:w="0" w:type="auto"/>
            <w:tcBorders>
              <w:top w:val="nil"/>
              <w:left w:val="nil"/>
              <w:bottom w:val="nil"/>
              <w:right w:val="nil"/>
            </w:tcBorders>
            <w:noWrap/>
            <w:vAlign w:val="bottom"/>
            <w:hideMark/>
          </w:tcPr>
          <w:p w14:paraId="45033C28" w14:textId="77777777" w:rsidR="009478B5" w:rsidRPr="00EF7DCF" w:rsidRDefault="009478B5" w:rsidP="009478B5">
            <w:pPr>
              <w:spacing w:after="0"/>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 xml:space="preserve"> Previous </w:t>
            </w:r>
          </w:p>
        </w:tc>
        <w:tc>
          <w:tcPr>
            <w:tcW w:w="0" w:type="auto"/>
            <w:tcBorders>
              <w:top w:val="nil"/>
              <w:left w:val="nil"/>
              <w:bottom w:val="nil"/>
              <w:right w:val="nil"/>
            </w:tcBorders>
            <w:noWrap/>
            <w:vAlign w:val="bottom"/>
            <w:hideMark/>
          </w:tcPr>
          <w:p w14:paraId="28279636" w14:textId="77777777" w:rsidR="009478B5" w:rsidRPr="00EF7DCF" w:rsidRDefault="009478B5" w:rsidP="009478B5">
            <w:pPr>
              <w:spacing w:after="0"/>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Corrected</w:t>
            </w:r>
          </w:p>
        </w:tc>
      </w:tr>
      <w:tr w:rsidR="00EF7DCF" w:rsidRPr="00EF7DCF" w14:paraId="2F281269" w14:textId="77777777" w:rsidTr="009478B5">
        <w:trPr>
          <w:trHeight w:val="975"/>
        </w:trPr>
        <w:tc>
          <w:tcPr>
            <w:tcW w:w="0" w:type="auto"/>
            <w:tcBorders>
              <w:top w:val="nil"/>
              <w:left w:val="nil"/>
              <w:bottom w:val="nil"/>
              <w:right w:val="nil"/>
            </w:tcBorders>
            <w:vAlign w:val="bottom"/>
            <w:hideMark/>
          </w:tcPr>
          <w:p w14:paraId="6732A952" w14:textId="77777777" w:rsidR="009478B5" w:rsidRPr="00EF7DCF" w:rsidRDefault="009478B5" w:rsidP="009478B5">
            <w:pPr>
              <w:spacing w:after="0"/>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 xml:space="preserve">Received trastuzumab emtansine (including subsequent trastuzumab deruxtecan) </w:t>
            </w:r>
          </w:p>
        </w:tc>
        <w:tc>
          <w:tcPr>
            <w:tcW w:w="0" w:type="auto"/>
            <w:tcBorders>
              <w:top w:val="nil"/>
              <w:left w:val="nil"/>
              <w:bottom w:val="nil"/>
              <w:right w:val="nil"/>
            </w:tcBorders>
            <w:noWrap/>
            <w:vAlign w:val="center"/>
            <w:hideMark/>
          </w:tcPr>
          <w:p w14:paraId="1D96A1E2" w14:textId="77777777" w:rsidR="009478B5" w:rsidRPr="00EF7DCF" w:rsidRDefault="009478B5" w:rsidP="009478B5">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25.4</w:t>
            </w:r>
          </w:p>
        </w:tc>
        <w:tc>
          <w:tcPr>
            <w:tcW w:w="0" w:type="auto"/>
            <w:tcBorders>
              <w:top w:val="nil"/>
              <w:left w:val="nil"/>
              <w:bottom w:val="nil"/>
              <w:right w:val="nil"/>
            </w:tcBorders>
            <w:noWrap/>
            <w:vAlign w:val="center"/>
            <w:hideMark/>
          </w:tcPr>
          <w:p w14:paraId="36CD0E94" w14:textId="77777777" w:rsidR="009478B5" w:rsidRPr="00EF7DCF" w:rsidRDefault="009478B5" w:rsidP="009478B5">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24.0</w:t>
            </w:r>
          </w:p>
        </w:tc>
        <w:tc>
          <w:tcPr>
            <w:tcW w:w="0" w:type="auto"/>
            <w:tcBorders>
              <w:top w:val="nil"/>
              <w:left w:val="nil"/>
              <w:bottom w:val="nil"/>
              <w:right w:val="nil"/>
            </w:tcBorders>
            <w:noWrap/>
            <w:vAlign w:val="center"/>
            <w:hideMark/>
          </w:tcPr>
          <w:p w14:paraId="73B5156F" w14:textId="77777777" w:rsidR="009478B5" w:rsidRPr="00EF7DCF" w:rsidRDefault="009478B5" w:rsidP="009478B5">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40.8</w:t>
            </w:r>
          </w:p>
        </w:tc>
        <w:tc>
          <w:tcPr>
            <w:tcW w:w="0" w:type="auto"/>
            <w:tcBorders>
              <w:top w:val="nil"/>
              <w:left w:val="nil"/>
              <w:bottom w:val="nil"/>
              <w:right w:val="nil"/>
            </w:tcBorders>
            <w:noWrap/>
            <w:vAlign w:val="center"/>
            <w:hideMark/>
          </w:tcPr>
          <w:p w14:paraId="05044315" w14:textId="77777777" w:rsidR="009478B5" w:rsidRPr="00EF7DCF" w:rsidRDefault="009478B5" w:rsidP="009478B5">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35.1</w:t>
            </w:r>
          </w:p>
        </w:tc>
        <w:tc>
          <w:tcPr>
            <w:tcW w:w="0" w:type="auto"/>
            <w:tcBorders>
              <w:top w:val="nil"/>
              <w:left w:val="nil"/>
              <w:bottom w:val="nil"/>
              <w:right w:val="nil"/>
            </w:tcBorders>
            <w:noWrap/>
            <w:vAlign w:val="center"/>
            <w:hideMark/>
          </w:tcPr>
          <w:p w14:paraId="0F8E2492" w14:textId="77777777" w:rsidR="009478B5" w:rsidRPr="00EF7DCF" w:rsidRDefault="009478B5" w:rsidP="009478B5">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21.3</w:t>
            </w:r>
          </w:p>
        </w:tc>
        <w:tc>
          <w:tcPr>
            <w:tcW w:w="0" w:type="auto"/>
            <w:tcBorders>
              <w:top w:val="nil"/>
              <w:left w:val="nil"/>
              <w:bottom w:val="nil"/>
              <w:right w:val="nil"/>
            </w:tcBorders>
            <w:noWrap/>
            <w:vAlign w:val="center"/>
            <w:hideMark/>
          </w:tcPr>
          <w:p w14:paraId="5B1DA165" w14:textId="77777777" w:rsidR="009478B5" w:rsidRPr="00EF7DCF" w:rsidRDefault="009478B5" w:rsidP="009478B5">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20.9</w:t>
            </w:r>
          </w:p>
        </w:tc>
        <w:tc>
          <w:tcPr>
            <w:tcW w:w="0" w:type="auto"/>
            <w:tcBorders>
              <w:top w:val="nil"/>
              <w:left w:val="nil"/>
              <w:bottom w:val="nil"/>
              <w:right w:val="nil"/>
            </w:tcBorders>
            <w:noWrap/>
            <w:vAlign w:val="center"/>
            <w:hideMark/>
          </w:tcPr>
          <w:p w14:paraId="1AC58DEA" w14:textId="5DA3AF3B" w:rsidR="009478B5" w:rsidRPr="00EF7DCF" w:rsidRDefault="009478B5" w:rsidP="009478B5">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1,190</w:t>
            </w:r>
          </w:p>
        </w:tc>
        <w:tc>
          <w:tcPr>
            <w:tcW w:w="0" w:type="auto"/>
            <w:tcBorders>
              <w:top w:val="nil"/>
              <w:left w:val="nil"/>
              <w:bottom w:val="nil"/>
              <w:right w:val="nil"/>
            </w:tcBorders>
            <w:noWrap/>
            <w:vAlign w:val="center"/>
            <w:hideMark/>
          </w:tcPr>
          <w:p w14:paraId="27E204E7" w14:textId="1CCD16E0" w:rsidR="009478B5" w:rsidRPr="00EF7DCF" w:rsidRDefault="009478B5" w:rsidP="009478B5">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723</w:t>
            </w:r>
          </w:p>
        </w:tc>
        <w:tc>
          <w:tcPr>
            <w:tcW w:w="0" w:type="auto"/>
            <w:tcBorders>
              <w:top w:val="nil"/>
              <w:left w:val="nil"/>
              <w:bottom w:val="nil"/>
              <w:right w:val="nil"/>
            </w:tcBorders>
            <w:noWrap/>
            <w:vAlign w:val="center"/>
            <w:hideMark/>
          </w:tcPr>
          <w:p w14:paraId="24E2E2EB" w14:textId="4AC86650" w:rsidR="009478B5" w:rsidRPr="00EF7DCF" w:rsidRDefault="009478B5" w:rsidP="009478B5">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828</w:t>
            </w:r>
          </w:p>
        </w:tc>
      </w:tr>
      <w:tr w:rsidR="00005734" w:rsidRPr="00EF7DCF" w14:paraId="60B509C1" w14:textId="77777777" w:rsidTr="009478B5">
        <w:trPr>
          <w:trHeight w:val="975"/>
        </w:trPr>
        <w:tc>
          <w:tcPr>
            <w:tcW w:w="0" w:type="auto"/>
            <w:tcBorders>
              <w:top w:val="nil"/>
              <w:left w:val="nil"/>
              <w:bottom w:val="nil"/>
              <w:right w:val="nil"/>
            </w:tcBorders>
            <w:vAlign w:val="bottom"/>
          </w:tcPr>
          <w:p w14:paraId="25449560" w14:textId="6B6C232A" w:rsidR="00005734" w:rsidRPr="00EF7DCF" w:rsidRDefault="00005734" w:rsidP="00005734">
            <w:pPr>
              <w:spacing w:after="0"/>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 xml:space="preserve">Received trastuzumab emtansine (but no subsequent trastuzumab deruxtecan) </w:t>
            </w:r>
          </w:p>
        </w:tc>
        <w:tc>
          <w:tcPr>
            <w:tcW w:w="0" w:type="auto"/>
            <w:tcBorders>
              <w:top w:val="nil"/>
              <w:left w:val="nil"/>
              <w:bottom w:val="nil"/>
              <w:right w:val="nil"/>
            </w:tcBorders>
            <w:noWrap/>
            <w:vAlign w:val="center"/>
          </w:tcPr>
          <w:p w14:paraId="53233AF2" w14:textId="2E8DED7B" w:rsidR="00005734" w:rsidRPr="00EF7DCF" w:rsidRDefault="00005734" w:rsidP="00005734">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17.6</w:t>
            </w:r>
          </w:p>
        </w:tc>
        <w:tc>
          <w:tcPr>
            <w:tcW w:w="0" w:type="auto"/>
            <w:tcBorders>
              <w:top w:val="nil"/>
              <w:left w:val="nil"/>
              <w:bottom w:val="nil"/>
              <w:right w:val="nil"/>
            </w:tcBorders>
            <w:noWrap/>
            <w:vAlign w:val="center"/>
          </w:tcPr>
          <w:p w14:paraId="0999432A" w14:textId="15DC5ED4" w:rsidR="00005734" w:rsidRPr="00EF7DCF" w:rsidRDefault="00005734" w:rsidP="00005734">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16.9</w:t>
            </w:r>
          </w:p>
        </w:tc>
        <w:tc>
          <w:tcPr>
            <w:tcW w:w="0" w:type="auto"/>
            <w:tcBorders>
              <w:top w:val="nil"/>
              <w:left w:val="nil"/>
              <w:bottom w:val="nil"/>
              <w:right w:val="nil"/>
            </w:tcBorders>
            <w:noWrap/>
            <w:vAlign w:val="center"/>
          </w:tcPr>
          <w:p w14:paraId="57B24F4A" w14:textId="422EA802" w:rsidR="00005734" w:rsidRPr="00EF7DCF" w:rsidRDefault="00005734" w:rsidP="00005734">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32.1</w:t>
            </w:r>
          </w:p>
        </w:tc>
        <w:tc>
          <w:tcPr>
            <w:tcW w:w="0" w:type="auto"/>
            <w:tcBorders>
              <w:top w:val="nil"/>
              <w:left w:val="nil"/>
              <w:bottom w:val="nil"/>
              <w:right w:val="nil"/>
            </w:tcBorders>
            <w:noWrap/>
            <w:vAlign w:val="center"/>
          </w:tcPr>
          <w:p w14:paraId="6E98AA17" w14:textId="12F02906" w:rsidR="00005734" w:rsidRPr="00EF7DCF" w:rsidRDefault="00005734" w:rsidP="00005734">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29.0</w:t>
            </w:r>
          </w:p>
        </w:tc>
        <w:tc>
          <w:tcPr>
            <w:tcW w:w="0" w:type="auto"/>
            <w:tcBorders>
              <w:top w:val="nil"/>
              <w:left w:val="nil"/>
              <w:bottom w:val="nil"/>
              <w:right w:val="nil"/>
            </w:tcBorders>
            <w:noWrap/>
            <w:vAlign w:val="center"/>
          </w:tcPr>
          <w:p w14:paraId="71C216E2" w14:textId="22628BEB" w:rsidR="00005734" w:rsidRPr="00EF7DCF" w:rsidRDefault="00005734" w:rsidP="00005734">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15.4</w:t>
            </w:r>
          </w:p>
        </w:tc>
        <w:tc>
          <w:tcPr>
            <w:tcW w:w="0" w:type="auto"/>
            <w:tcBorders>
              <w:top w:val="nil"/>
              <w:left w:val="nil"/>
              <w:bottom w:val="nil"/>
              <w:right w:val="nil"/>
            </w:tcBorders>
            <w:noWrap/>
            <w:vAlign w:val="center"/>
          </w:tcPr>
          <w:p w14:paraId="3DF4D6E9" w14:textId="399E8DD0" w:rsidR="00005734" w:rsidRPr="00EF7DCF" w:rsidRDefault="00005734" w:rsidP="00005734">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15.0</w:t>
            </w:r>
          </w:p>
        </w:tc>
        <w:tc>
          <w:tcPr>
            <w:tcW w:w="0" w:type="auto"/>
            <w:tcBorders>
              <w:top w:val="nil"/>
              <w:left w:val="nil"/>
              <w:bottom w:val="nil"/>
              <w:right w:val="nil"/>
            </w:tcBorders>
            <w:noWrap/>
            <w:vAlign w:val="center"/>
          </w:tcPr>
          <w:p w14:paraId="74E57764" w14:textId="12B33D6E" w:rsidR="00005734" w:rsidRPr="00EF7DCF" w:rsidRDefault="00005734" w:rsidP="00005734">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820</w:t>
            </w:r>
          </w:p>
        </w:tc>
        <w:tc>
          <w:tcPr>
            <w:tcW w:w="0" w:type="auto"/>
            <w:tcBorders>
              <w:top w:val="nil"/>
              <w:left w:val="nil"/>
              <w:bottom w:val="nil"/>
              <w:right w:val="nil"/>
            </w:tcBorders>
            <w:noWrap/>
            <w:vAlign w:val="center"/>
          </w:tcPr>
          <w:p w14:paraId="222233DC" w14:textId="014868C6" w:rsidR="00005734" w:rsidRPr="00EF7DCF" w:rsidRDefault="00005734" w:rsidP="00005734">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575</w:t>
            </w:r>
          </w:p>
        </w:tc>
        <w:tc>
          <w:tcPr>
            <w:tcW w:w="0" w:type="auto"/>
            <w:tcBorders>
              <w:top w:val="nil"/>
              <w:left w:val="nil"/>
              <w:bottom w:val="nil"/>
              <w:right w:val="nil"/>
            </w:tcBorders>
            <w:noWrap/>
            <w:vAlign w:val="center"/>
          </w:tcPr>
          <w:p w14:paraId="152C5491" w14:textId="51E8362A" w:rsidR="00005734" w:rsidRPr="00EF7DCF" w:rsidRDefault="00005734" w:rsidP="00005734">
            <w:pPr>
              <w:spacing w:after="0"/>
              <w:jc w:val="right"/>
              <w:rPr>
                <w:rFonts w:ascii="Aptos Narrow" w:eastAsia="Times New Roman" w:hAnsi="Aptos Narrow" w:cs="Times New Roman"/>
                <w:sz w:val="16"/>
                <w:szCs w:val="16"/>
                <w:lang w:val="en-GB" w:eastAsia="en-GB"/>
              </w:rPr>
            </w:pPr>
            <w:r w:rsidRPr="00EF7DCF">
              <w:rPr>
                <w:rFonts w:ascii="Aptos Narrow" w:eastAsia="Times New Roman" w:hAnsi="Aptos Narrow" w:cs="Times New Roman"/>
                <w:sz w:val="16"/>
                <w:szCs w:val="16"/>
                <w:lang w:val="en-GB" w:eastAsia="en-GB"/>
              </w:rPr>
              <w:t>620</w:t>
            </w:r>
          </w:p>
        </w:tc>
      </w:tr>
    </w:tbl>
    <w:p w14:paraId="1DF0A268" w14:textId="77777777" w:rsidR="008D1124" w:rsidRPr="00EF7DCF" w:rsidRDefault="008D1124"/>
    <w:p w14:paraId="67F71128" w14:textId="5007339B" w:rsidR="008D75BB" w:rsidRPr="00EF7DCF" w:rsidRDefault="008D75BB">
      <w:r w:rsidRPr="00EF7DCF">
        <w:t>No changes were made to cohort definitions, treatment classification or methods.</w:t>
      </w:r>
    </w:p>
    <w:p w14:paraId="79556816" w14:textId="77777777" w:rsidR="008D75BB" w:rsidRPr="00EF7DCF" w:rsidRDefault="008D75BB"/>
    <w:p w14:paraId="32B938D3" w14:textId="6DB3988F" w:rsidR="008D1124" w:rsidRPr="00EF7DCF" w:rsidRDefault="008D1124">
      <w:r w:rsidRPr="00EF7DCF">
        <w:br w:type="page"/>
      </w:r>
    </w:p>
    <w:p w14:paraId="2BCC5AF4" w14:textId="53BA7221" w:rsidR="007F58D0" w:rsidRPr="00EF7DCF" w:rsidRDefault="00C0288F">
      <w:pPr>
        <w:pStyle w:val="Heading1"/>
        <w:rPr>
          <w:color w:val="auto"/>
        </w:rPr>
      </w:pPr>
      <w:r w:rsidRPr="00EF7DCF">
        <w:rPr>
          <w:color w:val="auto"/>
        </w:rPr>
        <w:lastRenderedPageBreak/>
        <w:t>NDRS-NICE partnership report</w:t>
      </w:r>
    </w:p>
    <w:p w14:paraId="7498FD06" w14:textId="0B808C09" w:rsidR="00F5167A" w:rsidRPr="00EF7DCF" w:rsidRDefault="00F5167A" w:rsidP="00F5167A">
      <w:pPr>
        <w:pStyle w:val="BodyText"/>
      </w:pPr>
    </w:p>
    <w:p w14:paraId="2BCC5AF5" w14:textId="77777777" w:rsidR="007F58D0" w:rsidRPr="00EF7DCF" w:rsidRDefault="00C0288F">
      <w:pPr>
        <w:pStyle w:val="Heading2"/>
        <w:rPr>
          <w:color w:val="auto"/>
        </w:rPr>
      </w:pPr>
      <w:bookmarkStart w:id="1" w:name="background"/>
      <w:r w:rsidRPr="00EF7DCF">
        <w:rPr>
          <w:color w:val="auto"/>
        </w:rPr>
        <w:t>Background</w:t>
      </w:r>
    </w:p>
    <w:p w14:paraId="2BCC5AF6" w14:textId="77777777" w:rsidR="007F58D0" w:rsidRPr="00EF7DCF" w:rsidRDefault="00C0288F">
      <w:pPr>
        <w:pStyle w:val="FirstParagraph"/>
      </w:pPr>
      <w:r w:rsidRPr="00EF7DCF">
        <w:t>This report was produced in partnership by the National Disease and Registration Service (NDRS) and National Institute for Health and Care Excellence (NICE). NDRS and NICE have established a partnership focused on routinely collected data to support NICE decision making on the appraisals of cancer treatments. The partnership uses NDRS datasets, including the information submitted by trusts to the Systemic Anti-Cancer Therapy (SACT) dataset,</w:t>
      </w:r>
      <w:r w:rsidRPr="00EF7DCF">
        <w:rPr>
          <w:rStyle w:val="FootnoteReference"/>
        </w:rPr>
        <w:footnoteReference w:id="1"/>
      </w:r>
      <w:r w:rsidRPr="00EF7DCF">
        <w:t xml:space="preserve"> to provide an understanding of current practice.</w:t>
      </w:r>
    </w:p>
    <w:p w14:paraId="2BCC5AF7" w14:textId="77777777" w:rsidR="007F58D0" w:rsidRPr="00EF7DCF" w:rsidRDefault="00C0288F">
      <w:pPr>
        <w:pStyle w:val="BodyText"/>
      </w:pPr>
      <w:r w:rsidRPr="00EF7DCF">
        <w:t>To determine a severity modifier, NICE considers factors such as the age, gender, and overall survival of the patient cohort affected by the disease. Additionally, knowing the time-on-treatment for each therapy is useful, as it validates assumptions made in technology appraisal evaluations about the duration of treatment use.</w:t>
      </w:r>
    </w:p>
    <w:p w14:paraId="2BCC5AF8" w14:textId="77777777" w:rsidR="007F58D0" w:rsidRPr="00EF7DCF" w:rsidRDefault="00C0288F">
      <w:pPr>
        <w:pStyle w:val="BodyText"/>
      </w:pPr>
      <w:r w:rsidRPr="00EF7DCF">
        <w:t>This partnership is focused on producing demographic and survival information using NDRS data, alongside supplementary information tailored to each technology appraisal. These may include, for example, the time patients spend on particular treatments, genetic data where this is available, or other information on real-world care pathways. Interpretation of the data is not included in this report, it is the information as provided to the NICE technology appraisal committees. Detail on how NICE health technology appraisals use this data can be found in the NICE health technology evaluations manual,</w:t>
      </w:r>
      <w:r w:rsidRPr="00EF7DCF">
        <w:rPr>
          <w:rStyle w:val="FootnoteReference"/>
        </w:rPr>
        <w:footnoteReference w:id="2"/>
      </w:r>
      <w:r w:rsidRPr="00EF7DCF">
        <w:t xml:space="preserve"> with specific information relating to the survival analysis modelling available in Technical Support Document (TSD).</w:t>
      </w:r>
      <w:r w:rsidRPr="00EF7DCF">
        <w:rPr>
          <w:rStyle w:val="FootnoteReference"/>
        </w:rPr>
        <w:footnoteReference w:id="3"/>
      </w:r>
    </w:p>
    <w:p w14:paraId="2BCC5AF9" w14:textId="77777777" w:rsidR="007F58D0" w:rsidRPr="00EF7DCF" w:rsidRDefault="00C0288F">
      <w:pPr>
        <w:pStyle w:val="BodyText"/>
      </w:pPr>
      <w:r w:rsidRPr="00EF7DCF">
        <w:t xml:space="preserve">The focus of this report is the indication </w:t>
      </w:r>
      <w:r w:rsidRPr="00EF7DCF">
        <w:rPr>
          <w:b/>
          <w:bCs/>
        </w:rPr>
        <w:t>ID5121: Trastuzumab deruxtecan for treating HER2-positive unresectable or metastatic breast cancer after 1 or more anti-HER2 therapies</w:t>
      </w:r>
    </w:p>
    <w:p w14:paraId="2BCC5AFA" w14:textId="77777777" w:rsidR="007F58D0" w:rsidRPr="00EF7DCF" w:rsidRDefault="00C0288F">
      <w:pPr>
        <w:pStyle w:val="BodyText"/>
      </w:pPr>
      <w:r w:rsidRPr="00EF7DCF">
        <w:t>Two cohorts were assessed for this indication:</w:t>
      </w:r>
    </w:p>
    <w:p w14:paraId="2BCC5AFB" w14:textId="77777777" w:rsidR="007F58D0" w:rsidRPr="00EF7DCF" w:rsidRDefault="00C0288F">
      <w:pPr>
        <w:numPr>
          <w:ilvl w:val="0"/>
          <w:numId w:val="15"/>
        </w:numPr>
      </w:pPr>
      <w:r w:rsidRPr="00EF7DCF">
        <w:lastRenderedPageBreak/>
        <w:t>Cohort 1: Adults with HER2 positive unresectable, locally advanced or metastatic breast cancer who have received trastuzumab emtansine after trastuzumab and a taxane (</w:t>
      </w:r>
      <w:r w:rsidRPr="00EF7DCF">
        <w:rPr>
          <w:b/>
          <w:bCs/>
        </w:rPr>
        <w:t>including</w:t>
      </w:r>
      <w:r w:rsidRPr="00EF7DCF">
        <w:t xml:space="preserve"> individuals who subsequently received trastuzumab deruxtecan)</w:t>
      </w:r>
    </w:p>
    <w:p w14:paraId="2BCC5AFC" w14:textId="77777777" w:rsidR="007F58D0" w:rsidRPr="00EF7DCF" w:rsidRDefault="00C0288F">
      <w:pPr>
        <w:numPr>
          <w:ilvl w:val="0"/>
          <w:numId w:val="15"/>
        </w:numPr>
      </w:pPr>
      <w:r w:rsidRPr="00EF7DCF">
        <w:t>Cohort 2: Adults with HER2 positive unresectable, locally advanced or metastatic breast cancer who have received trastuzumab emtansine after trastuzumab and a taxane (</w:t>
      </w:r>
      <w:r w:rsidRPr="00EF7DCF">
        <w:rPr>
          <w:b/>
          <w:bCs/>
        </w:rPr>
        <w:t>excluding</w:t>
      </w:r>
      <w:r w:rsidRPr="00EF7DCF">
        <w:t xml:space="preserve"> individuals who subsequently received trastuzumab deruxtecan)</w:t>
      </w:r>
    </w:p>
    <w:p w14:paraId="2BCC5AFD" w14:textId="77777777" w:rsidR="007F58D0" w:rsidRPr="00EF7DCF" w:rsidRDefault="00C0288F">
      <w:r w:rsidRPr="00EF7DCF">
        <w:br w:type="page"/>
      </w:r>
    </w:p>
    <w:p w14:paraId="2BCC5AFE" w14:textId="77777777" w:rsidR="007F58D0" w:rsidRPr="00EF7DCF" w:rsidRDefault="00C0288F">
      <w:pPr>
        <w:pStyle w:val="Heading1"/>
        <w:rPr>
          <w:color w:val="auto"/>
        </w:rPr>
      </w:pPr>
      <w:bookmarkStart w:id="2" w:name="Xb868123b370136b27e657e88caa7e1441c50b8a"/>
      <w:bookmarkEnd w:id="0"/>
      <w:bookmarkEnd w:id="1"/>
      <w:r w:rsidRPr="00EF7DCF">
        <w:rPr>
          <w:color w:val="auto"/>
        </w:rPr>
        <w:lastRenderedPageBreak/>
        <w:t>Age and overall survival for HER2-positive unresectable or metastatic breast cancer (cohort 1 - including trastuzumab deruxtecan)</w:t>
      </w:r>
    </w:p>
    <w:p w14:paraId="2BCC5AFF" w14:textId="77777777" w:rsidR="007F58D0" w:rsidRPr="00EF7DCF" w:rsidRDefault="00C0288F">
      <w:pPr>
        <w:pStyle w:val="Heading2"/>
        <w:rPr>
          <w:color w:val="auto"/>
        </w:rPr>
      </w:pPr>
      <w:bookmarkStart w:id="3" w:name="introduction"/>
      <w:r w:rsidRPr="00EF7DCF">
        <w:rPr>
          <w:color w:val="auto"/>
        </w:rPr>
        <w:t>Introduction</w:t>
      </w:r>
    </w:p>
    <w:p w14:paraId="2BCC5B00" w14:textId="77777777" w:rsidR="007F58D0" w:rsidRPr="00EF7DCF" w:rsidRDefault="00C0288F">
      <w:pPr>
        <w:pStyle w:val="FirstParagraph"/>
      </w:pPr>
      <w:r w:rsidRPr="00EF7DCF">
        <w:t xml:space="preserve">This report was produced in partnership by the National Disease and Registration Service (NDRS) and National Institute for Health and Care Excellence (NICE). It presents overall survival and age distributions among patients aged 18 or over with HER2-positive unresectable, locally advanced or metastatic breast cancer who have received trastuzumab emtansine after trastuzumab and a taxane, </w:t>
      </w:r>
      <w:r w:rsidRPr="00EF7DCF">
        <w:rPr>
          <w:b/>
          <w:bCs/>
        </w:rPr>
        <w:t>including</w:t>
      </w:r>
      <w:r w:rsidRPr="00EF7DCF">
        <w:t xml:space="preserve"> individuals who subsequently received trastuzumab deruxtecan (cohort 1).</w:t>
      </w:r>
    </w:p>
    <w:p w14:paraId="2BCC5B01" w14:textId="77777777" w:rsidR="007F58D0" w:rsidRPr="00EF7DCF" w:rsidRDefault="00C0288F">
      <w:pPr>
        <w:pStyle w:val="Heading2"/>
        <w:rPr>
          <w:color w:val="auto"/>
        </w:rPr>
      </w:pPr>
      <w:bookmarkStart w:id="4" w:name="method"/>
      <w:bookmarkEnd w:id="3"/>
      <w:r w:rsidRPr="00EF7DCF">
        <w:rPr>
          <w:color w:val="auto"/>
        </w:rPr>
        <w:t>Method</w:t>
      </w:r>
    </w:p>
    <w:p w14:paraId="2BCC5B02" w14:textId="77777777" w:rsidR="007F58D0" w:rsidRPr="00EF7DCF" w:rsidRDefault="00C0288F">
      <w:pPr>
        <w:pStyle w:val="FirstParagraph"/>
      </w:pPr>
      <w:r w:rsidRPr="00EF7DCF">
        <w:t>A snapshot of SACT data was taken on 5</w:t>
      </w:r>
      <w:r w:rsidRPr="00EF7DCF">
        <w:rPr>
          <w:vertAlign w:val="superscript"/>
        </w:rPr>
        <w:t>th</w:t>
      </w:r>
      <w:r w:rsidRPr="00EF7DCF">
        <w:t xml:space="preserve"> October 2025 and made available for analysis on 17</w:t>
      </w:r>
      <w:r w:rsidRPr="00EF7DCF">
        <w:rPr>
          <w:vertAlign w:val="superscript"/>
        </w:rPr>
        <w:t>th</w:t>
      </w:r>
      <w:r w:rsidRPr="00EF7DCF">
        <w:t xml:space="preserve"> October 2025. SACT data is only considered complete when 90% of trusts have submitted data. As a result, SACT data is considered complete up to 28</w:t>
      </w:r>
      <w:r w:rsidRPr="00EF7DCF">
        <w:rPr>
          <w:vertAlign w:val="superscript"/>
        </w:rPr>
        <w:t>th</w:t>
      </w:r>
      <w:r w:rsidRPr="00EF7DCF">
        <w:t xml:space="preserve"> February 2025. Patients were traced for their vital status on 5</w:t>
      </w:r>
      <w:r w:rsidRPr="00EF7DCF">
        <w:rPr>
          <w:vertAlign w:val="superscript"/>
        </w:rPr>
        <w:t>th</w:t>
      </w:r>
      <w:r w:rsidRPr="00EF7DCF">
        <w:t xml:space="preserve"> July 2025.</w:t>
      </w:r>
    </w:p>
    <w:p w14:paraId="2BCC5B03" w14:textId="77777777" w:rsidR="007F58D0" w:rsidRPr="00EF7DCF" w:rsidRDefault="00C0288F">
      <w:pPr>
        <w:pStyle w:val="BodyText"/>
      </w:pPr>
      <w:r w:rsidRPr="00EF7DCF">
        <w:t>Descriptive statistics of age were computed, along with Kaplan-Meier estimates and parametric fits for overall survival (OS). Patients were censored at the date of the most recent trace (5</w:t>
      </w:r>
      <w:r w:rsidRPr="00EF7DCF">
        <w:rPr>
          <w:vertAlign w:val="superscript"/>
        </w:rPr>
        <w:t>th</w:t>
      </w:r>
      <w:r w:rsidRPr="00EF7DCF">
        <w:t xml:space="preserve"> July 2025), representing the last date on which vital status was confirmed.</w:t>
      </w:r>
    </w:p>
    <w:p w14:paraId="2BCC5B04" w14:textId="77777777" w:rsidR="007F58D0" w:rsidRPr="00EF7DCF" w:rsidRDefault="00C0288F">
      <w:pPr>
        <w:pStyle w:val="BodyText"/>
      </w:pPr>
      <w:r w:rsidRPr="00EF7DCF">
        <w:t>Time-on-treatment was measured by the difference between a patient’s first and last trastuzumab emtansine administration date, plus a prescription length of 21 days (standard cycle length). If an individual died before the end date of the current treatment cycle, the treatment end date was revised to their date of death. If the patient’s treatment end date extended beyond the treatment censoring date (28</w:t>
      </w:r>
      <w:r w:rsidRPr="00EF7DCF">
        <w:rPr>
          <w:vertAlign w:val="superscript"/>
        </w:rPr>
        <w:t>th</w:t>
      </w:r>
      <w:r w:rsidRPr="00EF7DCF">
        <w:t xml:space="preserve"> February 2025), the patient is censored.</w:t>
      </w:r>
    </w:p>
    <w:p w14:paraId="2BCC5B05" w14:textId="77777777" w:rsidR="007F58D0" w:rsidRPr="00EF7DCF" w:rsidRDefault="00C0288F">
      <w:pPr>
        <w:pStyle w:val="Heading3"/>
        <w:rPr>
          <w:color w:val="auto"/>
        </w:rPr>
      </w:pPr>
      <w:bookmarkStart w:id="5" w:name="cohort-inclusions-exclusions"/>
      <w:r w:rsidRPr="00EF7DCF">
        <w:rPr>
          <w:color w:val="auto"/>
        </w:rPr>
        <w:t>Cohort inclusions / exclusions</w:t>
      </w:r>
    </w:p>
    <w:p w14:paraId="2BCC5B06" w14:textId="77777777" w:rsidR="007F58D0" w:rsidRPr="00EF7DCF" w:rsidRDefault="00C0288F">
      <w:pPr>
        <w:pStyle w:val="FirstParagraph"/>
      </w:pPr>
      <w:r w:rsidRPr="00EF7DCF">
        <w:t>Patients were included if they met all of the following:</w:t>
      </w:r>
    </w:p>
    <w:p w14:paraId="2BCC5B07" w14:textId="2A5F4387" w:rsidR="007F58D0" w:rsidRPr="00EF7DCF" w:rsidRDefault="00EF7DCF">
      <w:pPr>
        <w:pStyle w:val="Compact"/>
        <w:numPr>
          <w:ilvl w:val="0"/>
          <w:numId w:val="16"/>
        </w:numPr>
      </w:pPr>
      <w:r>
        <w:t>d</w:t>
      </w:r>
      <w:r w:rsidR="00C0288F" w:rsidRPr="00EF7DCF">
        <w:t>iagnosed between 1</w:t>
      </w:r>
      <w:r w:rsidR="00C0288F" w:rsidRPr="00EF7DCF">
        <w:rPr>
          <w:vertAlign w:val="superscript"/>
        </w:rPr>
        <w:t>st</w:t>
      </w:r>
      <w:r w:rsidR="00C0288F" w:rsidRPr="00EF7DCF">
        <w:t xml:space="preserve"> January 2010 and 31</w:t>
      </w:r>
      <w:r w:rsidR="00C0288F" w:rsidRPr="00EF7DCF">
        <w:rPr>
          <w:vertAlign w:val="superscript"/>
        </w:rPr>
        <w:t>st</w:t>
      </w:r>
      <w:r w:rsidR="00C0288F" w:rsidRPr="00EF7DCF">
        <w:t xml:space="preserve"> December 2022</w:t>
      </w:r>
    </w:p>
    <w:p w14:paraId="2BCC5B08" w14:textId="741D3DE7" w:rsidR="007F58D0" w:rsidRPr="00EF7DCF" w:rsidRDefault="00EF7DCF">
      <w:pPr>
        <w:pStyle w:val="Compact"/>
        <w:numPr>
          <w:ilvl w:val="0"/>
          <w:numId w:val="16"/>
        </w:numPr>
      </w:pPr>
      <w:r>
        <w:t>g</w:t>
      </w:r>
      <w:r w:rsidR="00C0288F" w:rsidRPr="00EF7DCF">
        <w:t>ender recorded as male or female</w:t>
      </w:r>
    </w:p>
    <w:p w14:paraId="2BCC5B09" w14:textId="4E433F4A" w:rsidR="007F58D0" w:rsidRPr="00EF7DCF" w:rsidRDefault="00EF7DCF">
      <w:pPr>
        <w:pStyle w:val="Compact"/>
        <w:numPr>
          <w:ilvl w:val="0"/>
          <w:numId w:val="16"/>
        </w:numPr>
      </w:pPr>
      <w:r>
        <w:t>c</w:t>
      </w:r>
      <w:r w:rsidR="00C0288F" w:rsidRPr="00EF7DCF">
        <w:t>ountry code was England, based on postcode of residence at diagnosis</w:t>
      </w:r>
    </w:p>
    <w:p w14:paraId="2BCC5B0A" w14:textId="1BEF392E" w:rsidR="007F58D0" w:rsidRPr="00EF7DCF" w:rsidRDefault="00EF7DCF">
      <w:pPr>
        <w:pStyle w:val="Compact"/>
        <w:numPr>
          <w:ilvl w:val="0"/>
          <w:numId w:val="16"/>
        </w:numPr>
      </w:pPr>
      <w:r>
        <w:t>a</w:t>
      </w:r>
      <w:r w:rsidR="00C0288F" w:rsidRPr="00EF7DCF">
        <w:t>ge at diagnosis date was 18 or over</w:t>
      </w:r>
    </w:p>
    <w:p w14:paraId="2BCC5B0B" w14:textId="77777777" w:rsidR="007F58D0" w:rsidRPr="00EF7DCF" w:rsidRDefault="00C0288F">
      <w:pPr>
        <w:pStyle w:val="Compact"/>
        <w:numPr>
          <w:ilvl w:val="0"/>
          <w:numId w:val="16"/>
        </w:numPr>
      </w:pPr>
      <w:r w:rsidRPr="00EF7DCF">
        <w:t>ICD-10 diagnosis code was ‘C50*’ (Malignant melanoma of breast)</w:t>
      </w:r>
    </w:p>
    <w:p w14:paraId="2BCC5B0C" w14:textId="6F5FBCF0" w:rsidR="007F58D0" w:rsidRPr="00EF7DCF" w:rsidRDefault="00EF7DCF">
      <w:pPr>
        <w:pStyle w:val="Compact"/>
        <w:numPr>
          <w:ilvl w:val="0"/>
          <w:numId w:val="16"/>
        </w:numPr>
      </w:pPr>
      <w:proofErr w:type="spellStart"/>
      <w:r>
        <w:t>t</w:t>
      </w:r>
      <w:r w:rsidR="00C0288F" w:rsidRPr="00EF7DCF">
        <w:t>umour</w:t>
      </w:r>
      <w:proofErr w:type="spellEnd"/>
      <w:r w:rsidR="00C0288F" w:rsidRPr="00EF7DCF">
        <w:t xml:space="preserve"> stage (at diagnosis) was 3 or 4</w:t>
      </w:r>
    </w:p>
    <w:p w14:paraId="2BCC5B0D" w14:textId="2518BE8E" w:rsidR="007F58D0" w:rsidRPr="00EF7DCF" w:rsidRDefault="00EF7DCF">
      <w:pPr>
        <w:pStyle w:val="Compact"/>
        <w:numPr>
          <w:ilvl w:val="0"/>
          <w:numId w:val="16"/>
        </w:numPr>
      </w:pPr>
      <w:r>
        <w:t>o</w:t>
      </w:r>
      <w:r w:rsidR="00C0288F" w:rsidRPr="00EF7DCF">
        <w:t>nly one breast cancer tumour recorded during the study period</w:t>
      </w:r>
    </w:p>
    <w:p w14:paraId="2BCC5B0E" w14:textId="2D617AAD" w:rsidR="007F58D0" w:rsidRPr="00EF7DCF" w:rsidRDefault="00EF7DCF">
      <w:pPr>
        <w:pStyle w:val="Compact"/>
        <w:numPr>
          <w:ilvl w:val="0"/>
          <w:numId w:val="16"/>
        </w:numPr>
      </w:pPr>
      <w:r>
        <w:t>p</w:t>
      </w:r>
      <w:r w:rsidR="00C0288F" w:rsidRPr="00EF7DCF">
        <w:t>rior treatment with trastuzumab and a taxane, followed by trastuzumab emtansine between relevant dates (see points below)</w:t>
      </w:r>
    </w:p>
    <w:p w14:paraId="2BCC5B0F" w14:textId="77777777" w:rsidR="007F58D0" w:rsidRPr="00EF7DCF" w:rsidRDefault="00C0288F">
      <w:pPr>
        <w:pStyle w:val="Compact"/>
        <w:numPr>
          <w:ilvl w:val="0"/>
          <w:numId w:val="16"/>
        </w:numPr>
      </w:pPr>
      <w:r w:rsidRPr="00EF7DCF">
        <w:lastRenderedPageBreak/>
        <w:t>Trastuzumab emtansine was initiated on or after 19</w:t>
      </w:r>
      <w:r w:rsidRPr="00EF7DCF">
        <w:rPr>
          <w:vertAlign w:val="superscript"/>
        </w:rPr>
        <w:t>th</w:t>
      </w:r>
      <w:r w:rsidRPr="00EF7DCF">
        <w:t xml:space="preserve"> July 2017 (NICE TA458 publication date). Usage before this point would be through the Cancer Drugs Fund or compassionate use schemes.</w:t>
      </w:r>
    </w:p>
    <w:p w14:paraId="2BCC5B10" w14:textId="77777777" w:rsidR="007F58D0" w:rsidRPr="00EF7DCF" w:rsidRDefault="00C0288F">
      <w:pPr>
        <w:pStyle w:val="Compact"/>
        <w:numPr>
          <w:ilvl w:val="0"/>
          <w:numId w:val="16"/>
        </w:numPr>
      </w:pPr>
      <w:r w:rsidRPr="00EF7DCF">
        <w:t>Trastuzumab emtansine was initiated on or before the point at which SACT is considered complete (28</w:t>
      </w:r>
      <w:r w:rsidRPr="00EF7DCF">
        <w:rPr>
          <w:vertAlign w:val="superscript"/>
        </w:rPr>
        <w:t>th</w:t>
      </w:r>
      <w:r w:rsidRPr="00EF7DCF">
        <w:t xml:space="preserve"> February 2025).</w:t>
      </w:r>
    </w:p>
    <w:p w14:paraId="2BCC5B11" w14:textId="77777777" w:rsidR="007F58D0" w:rsidRPr="00EF7DCF" w:rsidRDefault="00C0288F">
      <w:pPr>
        <w:pStyle w:val="Compact"/>
        <w:numPr>
          <w:ilvl w:val="0"/>
          <w:numId w:val="16"/>
        </w:numPr>
      </w:pPr>
      <w:r w:rsidRPr="00EF7DCF">
        <w:t>Trastuzumab emtansine was not recorded as being administered in an adjuvant/neoadjuvant or curative setting</w:t>
      </w:r>
    </w:p>
    <w:p w14:paraId="2BCC5B12" w14:textId="77777777" w:rsidR="007F58D0" w:rsidRPr="00EF7DCF" w:rsidRDefault="00C0288F">
      <w:pPr>
        <w:pStyle w:val="Heading4"/>
        <w:rPr>
          <w:color w:val="auto"/>
        </w:rPr>
      </w:pPr>
      <w:bookmarkStart w:id="6" w:name="flow-chart"/>
      <w:r w:rsidRPr="00EF7DCF">
        <w:rPr>
          <w:color w:val="auto"/>
        </w:rPr>
        <w:t>Flow chart</w:t>
      </w:r>
    </w:p>
    <w:tbl>
      <w:tblPr>
        <w:tblStyle w:val="Table"/>
        <w:tblW w:w="5000" w:type="pct"/>
        <w:tblLook w:val="0020" w:firstRow="1" w:lastRow="0" w:firstColumn="0" w:lastColumn="0" w:noHBand="0" w:noVBand="0"/>
      </w:tblPr>
      <w:tblGrid>
        <w:gridCol w:w="9360"/>
      </w:tblGrid>
      <w:tr w:rsidR="00EF7DCF" w:rsidRPr="00EF7DCF" w14:paraId="11D51A4D" w14:textId="77777777" w:rsidTr="00E860C0">
        <w:trPr>
          <w:cnfStyle w:val="100000000000" w:firstRow="1" w:lastRow="0" w:firstColumn="0" w:lastColumn="0" w:oddVBand="0" w:evenVBand="0" w:oddHBand="0" w:evenHBand="0" w:firstRowFirstColumn="0" w:firstRowLastColumn="0" w:lastRowFirstColumn="0" w:lastRowLastColumn="0"/>
        </w:trPr>
        <w:tc>
          <w:tcPr>
            <w:tcW w:w="0" w:type="auto"/>
          </w:tcPr>
          <w:p w14:paraId="77FC80A5" w14:textId="77777777" w:rsidR="001D2B69" w:rsidRPr="00EF7DCF" w:rsidRDefault="001D2B69" w:rsidP="00900977">
            <w:pPr>
              <w:jc w:val="center"/>
            </w:pPr>
            <w:bookmarkStart w:id="7" w:name="fig-flow-ch1"/>
          </w:p>
          <w:p w14:paraId="2CE04157" w14:textId="77777777" w:rsidR="001D2B69" w:rsidRPr="00EF7DCF" w:rsidRDefault="001D2B69" w:rsidP="00900977">
            <w:pPr>
              <w:pStyle w:val="ImageCaption"/>
              <w:spacing w:before="200"/>
            </w:pPr>
            <w:r w:rsidRPr="00EF7DCF">
              <w:t>Figure 1: Inclusion / Exclusion Flow Chart</w:t>
            </w:r>
          </w:p>
          <w:p w14:paraId="323762C6" w14:textId="77777777" w:rsidR="001D2B69" w:rsidRPr="00EF7DCF" w:rsidRDefault="001D2B69" w:rsidP="00900977">
            <w:pPr>
              <w:pStyle w:val="ImageCaption"/>
              <w:spacing w:before="200"/>
            </w:pPr>
            <w:r w:rsidRPr="00EF7DCF">
              <w:rPr>
                <w:noProof/>
              </w:rPr>
              <w:drawing>
                <wp:inline distT="0" distB="0" distL="0" distR="0" wp14:anchorId="4985BD88" wp14:editId="2AC4E3A6">
                  <wp:extent cx="5943600" cy="3559175"/>
                  <wp:effectExtent l="0" t="0" r="0" b="3175"/>
                  <wp:docPr id="375979433" name="Picture" title="A flowchart showing how exclusion criteria reduce the sample to 1,190 cases"/>
                  <wp:cNvGraphicFramePr/>
                  <a:graphic xmlns:a="http://schemas.openxmlformats.org/drawingml/2006/main">
                    <a:graphicData uri="http://schemas.openxmlformats.org/drawingml/2006/picture">
                      <pic:pic xmlns:pic="http://schemas.openxmlformats.org/drawingml/2006/picture">
                        <pic:nvPicPr>
                          <pic:cNvPr id="31" name="Picture" descr="ID5121_trast_derux_breast_cancer_files/figure-docx/fig-flow-ch1-1.png"/>
                          <pic:cNvPicPr>
                            <a:picLocks noChangeAspect="1" noChangeArrowheads="1"/>
                          </pic:cNvPicPr>
                        </pic:nvPicPr>
                        <pic:blipFill>
                          <a:blip r:embed="rId11"/>
                          <a:stretch>
                            <a:fillRect/>
                          </a:stretch>
                        </pic:blipFill>
                        <pic:spPr bwMode="auto">
                          <a:xfrm>
                            <a:off x="0" y="0"/>
                            <a:ext cx="5943600" cy="3559175"/>
                          </a:xfrm>
                          <a:prstGeom prst="rect">
                            <a:avLst/>
                          </a:prstGeom>
                          <a:noFill/>
                          <a:ln w="9525">
                            <a:noFill/>
                            <a:headEnd/>
                            <a:tailEnd/>
                          </a:ln>
                        </pic:spPr>
                      </pic:pic>
                    </a:graphicData>
                  </a:graphic>
                </wp:inline>
              </w:drawing>
            </w:r>
          </w:p>
        </w:tc>
        <w:bookmarkEnd w:id="7"/>
      </w:tr>
    </w:tbl>
    <w:p w14:paraId="35E0467A" w14:textId="77777777" w:rsidR="001D2B69" w:rsidRPr="00EF7DCF" w:rsidRDefault="001D2B69" w:rsidP="001D2B69">
      <w:pPr>
        <w:pStyle w:val="BodyText"/>
      </w:pPr>
    </w:p>
    <w:p w14:paraId="2BCC5B13" w14:textId="77777777" w:rsidR="007F58D0" w:rsidRPr="00EF7DCF" w:rsidRDefault="00C0288F">
      <w:pPr>
        <w:pStyle w:val="Heading3"/>
        <w:rPr>
          <w:color w:val="auto"/>
        </w:rPr>
      </w:pPr>
      <w:bookmarkStart w:id="8" w:name="patient-acknowledgement"/>
      <w:bookmarkEnd w:id="5"/>
      <w:bookmarkEnd w:id="6"/>
      <w:r w:rsidRPr="00EF7DCF">
        <w:rPr>
          <w:color w:val="auto"/>
        </w:rPr>
        <w:t>Patient acknowledgement</w:t>
      </w:r>
    </w:p>
    <w:p w14:paraId="2BCC5B14" w14:textId="77777777" w:rsidR="007F58D0" w:rsidRPr="00EF7DCF" w:rsidRDefault="00C0288F">
      <w:pPr>
        <w:pStyle w:val="FirstParagraph"/>
      </w:pPr>
      <w:r w:rsidRPr="00EF7DCF">
        <w:t>This work uses data that has been provided by patients and collected by the NHS as part of their care and support. The data is collated, maintained and quality assured by the National Cancer Registration and Analysis Service, which is part of NHS England.</w:t>
      </w:r>
    </w:p>
    <w:p w14:paraId="2BCC5B15" w14:textId="77777777" w:rsidR="007F58D0" w:rsidRPr="00EF7DCF" w:rsidRDefault="00C0288F">
      <w:r w:rsidRPr="00EF7DCF">
        <w:br w:type="page"/>
      </w:r>
    </w:p>
    <w:p w14:paraId="2BCC5B16" w14:textId="77777777" w:rsidR="007F58D0" w:rsidRPr="00EF7DCF" w:rsidRDefault="00C0288F">
      <w:pPr>
        <w:pStyle w:val="Heading2"/>
        <w:rPr>
          <w:color w:val="auto"/>
        </w:rPr>
      </w:pPr>
      <w:bookmarkStart w:id="9" w:name="results"/>
      <w:bookmarkEnd w:id="4"/>
      <w:bookmarkEnd w:id="8"/>
      <w:r w:rsidRPr="00EF7DCF">
        <w:rPr>
          <w:color w:val="auto"/>
        </w:rPr>
        <w:lastRenderedPageBreak/>
        <w:t>Results</w:t>
      </w:r>
    </w:p>
    <w:p w14:paraId="2BCC5B17" w14:textId="77777777" w:rsidR="007F58D0" w:rsidRPr="00EF7DCF" w:rsidRDefault="00C0288F">
      <w:pPr>
        <w:pStyle w:val="Heading3"/>
        <w:rPr>
          <w:color w:val="auto"/>
        </w:rPr>
      </w:pPr>
      <w:bookmarkStart w:id="10" w:name="age-at-start-of-treatment"/>
      <w:r w:rsidRPr="00EF7DCF">
        <w:rPr>
          <w:color w:val="auto"/>
        </w:rPr>
        <w:t>Age at start of treatment</w:t>
      </w:r>
    </w:p>
    <w:p w14:paraId="2BCC5B18" w14:textId="77777777" w:rsidR="007F58D0" w:rsidRPr="00EF7DCF" w:rsidRDefault="00C0288F">
      <w:pPr>
        <w:pStyle w:val="FirstParagraph"/>
      </w:pPr>
      <w:r w:rsidRPr="00EF7DCF">
        <w:t>The table below sets out the mean age, standard deviation, median age and interquartile range (IQR) of patients who have received trastuzumab emtansine for HER2 positive unresectable, locally advanced or metastatic breast cancer (</w:t>
      </w:r>
      <w:r w:rsidRPr="00EF7DCF">
        <w:rPr>
          <w:b/>
          <w:bCs/>
        </w:rPr>
        <w:t>including</w:t>
      </w:r>
      <w:r w:rsidRPr="00EF7DCF">
        <w:t xml:space="preserve"> individuals who subsequently received trastuzumab deruxtecan). Age is measured at the commencement of the first treatment regimen of trastuzumab emtansine.</w:t>
      </w:r>
      <w:r w:rsidRPr="00EF7DCF">
        <w:br/>
      </w:r>
    </w:p>
    <w:tbl>
      <w:tblPr>
        <w:tblW w:w="0" w:type="auto"/>
        <w:jc w:val="center"/>
        <w:tblCellMar>
          <w:left w:w="60" w:type="dxa"/>
          <w:right w:w="60" w:type="dxa"/>
        </w:tblCellMar>
        <w:tblLook w:val="0000" w:firstRow="0" w:lastRow="0" w:firstColumn="0" w:lastColumn="0" w:noHBand="0" w:noVBand="0"/>
      </w:tblPr>
      <w:tblGrid>
        <w:gridCol w:w="1991"/>
        <w:gridCol w:w="1756"/>
      </w:tblGrid>
      <w:tr w:rsidR="00EF7DCF" w:rsidRPr="00EF7DCF" w14:paraId="2BCC5B1B" w14:textId="77777777">
        <w:trPr>
          <w:cantSplit/>
          <w:tblHeader/>
          <w:jc w:val="center"/>
        </w:trPr>
        <w:tc>
          <w:tcPr>
            <w:tcW w:w="0" w:type="auto"/>
            <w:tcBorders>
              <w:top w:val="single" w:sz="16" w:space="0" w:color="D3D3D3"/>
              <w:left w:val="single" w:sz="0" w:space="0" w:color="D3D3D3"/>
              <w:bottom w:val="single" w:sz="16" w:space="0" w:color="D3D3D3"/>
            </w:tcBorders>
          </w:tcPr>
          <w:p w14:paraId="2BCC5B19" w14:textId="77777777" w:rsidR="007F58D0" w:rsidRPr="00EF7DCF" w:rsidRDefault="00C0288F">
            <w:pPr>
              <w:keepNext/>
              <w:spacing w:after="60"/>
            </w:pPr>
            <w:r w:rsidRPr="00EF7DCF">
              <w:rPr>
                <w:rFonts w:ascii="Calibri" w:hAnsi="Calibri"/>
                <w:b/>
                <w:sz w:val="20"/>
              </w:rPr>
              <w:t>Characteristic</w:t>
            </w:r>
          </w:p>
        </w:tc>
        <w:tc>
          <w:tcPr>
            <w:tcW w:w="0" w:type="auto"/>
            <w:tcBorders>
              <w:top w:val="single" w:sz="16" w:space="0" w:color="D3D3D3"/>
              <w:bottom w:val="single" w:sz="16" w:space="0" w:color="D3D3D3"/>
              <w:right w:val="single" w:sz="0" w:space="0" w:color="D3D3D3"/>
            </w:tcBorders>
          </w:tcPr>
          <w:p w14:paraId="2BCC5B1A" w14:textId="77777777" w:rsidR="007F58D0" w:rsidRPr="00EF7DCF" w:rsidRDefault="00C0288F">
            <w:pPr>
              <w:keepNext/>
              <w:spacing w:after="60"/>
              <w:jc w:val="center"/>
            </w:pPr>
            <w:r w:rsidRPr="00EF7DCF">
              <w:rPr>
                <w:rFonts w:ascii="Calibri" w:hAnsi="Calibri"/>
                <w:b/>
                <w:sz w:val="20"/>
              </w:rPr>
              <w:t>N = 1,190</w:t>
            </w:r>
            <w:r w:rsidRPr="00EF7DCF">
              <w:rPr>
                <w:rFonts w:ascii="Calibri" w:hAnsi="Calibri"/>
                <w:i/>
                <w:sz w:val="20"/>
                <w:vertAlign w:val="superscript"/>
              </w:rPr>
              <w:t>1</w:t>
            </w:r>
          </w:p>
        </w:tc>
      </w:tr>
      <w:tr w:rsidR="00EF7DCF" w:rsidRPr="00EF7DCF" w14:paraId="2BCC5B1E"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B1C" w14:textId="77777777" w:rsidR="007F58D0" w:rsidRPr="00EF7DCF" w:rsidRDefault="00C0288F">
            <w:pPr>
              <w:keepNext/>
              <w:spacing w:after="60"/>
            </w:pPr>
            <w:r w:rsidRPr="00EF7DCF">
              <w:rPr>
                <w:rFonts w:ascii="Calibri" w:hAnsi="Calibri"/>
                <w:sz w:val="20"/>
              </w:rPr>
              <w:t>Age at start of regimen</w:t>
            </w:r>
          </w:p>
        </w:tc>
        <w:tc>
          <w:tcPr>
            <w:tcW w:w="0" w:type="auto"/>
            <w:tcBorders>
              <w:top w:val="single" w:sz="0" w:space="0" w:color="D3D3D3"/>
              <w:left w:val="single" w:sz="0" w:space="0" w:color="D3D3D3"/>
              <w:bottom w:val="single" w:sz="0" w:space="0" w:color="D3D3D3"/>
              <w:right w:val="single" w:sz="0" w:space="0" w:color="D3D3D3"/>
            </w:tcBorders>
          </w:tcPr>
          <w:p w14:paraId="2BCC5B1D" w14:textId="77777777" w:rsidR="007F58D0" w:rsidRPr="00EF7DCF" w:rsidRDefault="00C0288F">
            <w:pPr>
              <w:keepNext/>
              <w:spacing w:after="60"/>
              <w:jc w:val="center"/>
            </w:pPr>
            <w:r w:rsidRPr="00EF7DCF">
              <w:rPr>
                <w:rFonts w:ascii="Calibri" w:hAnsi="Calibri"/>
                <w:sz w:val="20"/>
              </w:rPr>
              <w:t>57, (13) : 56 (48, 66)</w:t>
            </w:r>
          </w:p>
        </w:tc>
      </w:tr>
      <w:tr w:rsidR="00EF7DCF" w:rsidRPr="00EF7DCF" w14:paraId="2BCC5B20" w14:textId="77777777">
        <w:trPr>
          <w:cantSplit/>
          <w:jc w:val="center"/>
        </w:trPr>
        <w:tc>
          <w:tcPr>
            <w:tcW w:w="0" w:type="auto"/>
            <w:gridSpan w:val="2"/>
          </w:tcPr>
          <w:p w14:paraId="2BCC5B1F" w14:textId="77777777" w:rsidR="007F58D0" w:rsidRPr="00EF7DCF" w:rsidRDefault="00C0288F">
            <w:pPr>
              <w:keepNext/>
              <w:spacing w:after="60"/>
            </w:pPr>
            <w:r w:rsidRPr="00EF7DCF">
              <w:rPr>
                <w:rFonts w:ascii="Calibri" w:hAnsi="Calibri"/>
                <w:i/>
                <w:sz w:val="20"/>
                <w:vertAlign w:val="superscript"/>
              </w:rPr>
              <w:t>1</w:t>
            </w:r>
            <w:r w:rsidRPr="00EF7DCF">
              <w:rPr>
                <w:rFonts w:ascii="Calibri" w:hAnsi="Calibri"/>
                <w:sz w:val="20"/>
              </w:rPr>
              <w:t>Mean, (SD) : Median (Q1, Q3)</w:t>
            </w:r>
          </w:p>
        </w:tc>
      </w:tr>
    </w:tbl>
    <w:tbl>
      <w:tblPr>
        <w:tblStyle w:val="Table"/>
        <w:tblW w:w="5000" w:type="pct"/>
        <w:tblLayout w:type="fixed"/>
        <w:tblLook w:val="0020" w:firstRow="1" w:lastRow="0" w:firstColumn="0" w:lastColumn="0" w:noHBand="0" w:noVBand="0"/>
      </w:tblPr>
      <w:tblGrid>
        <w:gridCol w:w="9360"/>
      </w:tblGrid>
      <w:tr w:rsidR="00EF7DCF" w:rsidRPr="00EF7DCF" w14:paraId="2BCC5B25"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21" w14:textId="77777777" w:rsidR="007F58D0" w:rsidRPr="00EF7DCF" w:rsidRDefault="00C0288F">
            <w:pPr>
              <w:pStyle w:val="ImageCaption"/>
              <w:spacing w:before="200"/>
            </w:pPr>
            <w:bookmarkStart w:id="11" w:name="tbl-age-dist-ch1"/>
            <w:r w:rsidRPr="00EF7DCF">
              <w:t>Table 1: Mean age, standard deviation, median age and IQR of patients who have received trastuzumab emtansine (including individuals who subsequently received trastuzumab deruxtecan)</w:t>
            </w:r>
          </w:p>
          <w:bookmarkEnd w:id="11"/>
          <w:p w14:paraId="2BCC5B24" w14:textId="77777777" w:rsidR="007F58D0" w:rsidRPr="00EF7DCF" w:rsidRDefault="007F58D0"/>
        </w:tc>
      </w:tr>
      <w:tr w:rsidR="00EF7DCF" w:rsidRPr="00EF7DCF" w14:paraId="2BCC5B28" w14:textId="77777777" w:rsidTr="00E860C0">
        <w:tc>
          <w:tcPr>
            <w:tcW w:w="7920" w:type="dxa"/>
          </w:tcPr>
          <w:p w14:paraId="2BCC5B26" w14:textId="00AE2D9A" w:rsidR="007F58D0" w:rsidRPr="00EF7DCF" w:rsidRDefault="00C0288F">
            <w:pPr>
              <w:pStyle w:val="ImageCaption"/>
              <w:spacing w:before="200"/>
            </w:pPr>
            <w:bookmarkStart w:id="12" w:name="fig-age-dist-ch1"/>
            <w:r w:rsidRPr="00EF7DCF">
              <w:t>Figure </w:t>
            </w:r>
            <w:r w:rsidR="004169B2" w:rsidRPr="00EF7DCF">
              <w:t>2</w:t>
            </w:r>
            <w:r w:rsidRPr="00EF7DCF">
              <w:t>: Age distribution of patients who have received trastuzumab emtansine</w:t>
            </w:r>
          </w:p>
          <w:p w14:paraId="2BCC5B27" w14:textId="77777777" w:rsidR="007F58D0" w:rsidRPr="00EF7DCF" w:rsidRDefault="00C0288F">
            <w:pPr>
              <w:pStyle w:val="Compact"/>
              <w:jc w:val="center"/>
            </w:pPr>
            <w:r w:rsidRPr="00EF7DCF">
              <w:rPr>
                <w:noProof/>
              </w:rPr>
              <w:drawing>
                <wp:inline distT="0" distB="0" distL="0" distR="0" wp14:anchorId="2BCC5DA3" wp14:editId="2BCC5DA4">
                  <wp:extent cx="4620126" cy="3696101"/>
                  <wp:effectExtent l="0" t="0" r="0" b="0"/>
                  <wp:docPr id="35" name="Picture" title="A histogram showing age distribution for individuals who have received trastuzumab emtansine"/>
                  <wp:cNvGraphicFramePr/>
                  <a:graphic xmlns:a="http://schemas.openxmlformats.org/drawingml/2006/main">
                    <a:graphicData uri="http://schemas.openxmlformats.org/drawingml/2006/picture">
                      <pic:pic xmlns:pic="http://schemas.openxmlformats.org/drawingml/2006/picture">
                        <pic:nvPicPr>
                          <pic:cNvPr id="36" name="Picture" descr="ID5121_trast_derux_breast_cancer_monthly_ss_files/figure-docx/fig-age-dist-ch1-1.png"/>
                          <pic:cNvPicPr>
                            <a:picLocks noChangeAspect="1" noChangeArrowheads="1"/>
                          </pic:cNvPicPr>
                        </pic:nvPicPr>
                        <pic:blipFill>
                          <a:blip r:embed="rId12"/>
                          <a:stretch>
                            <a:fillRect/>
                          </a:stretch>
                        </pic:blipFill>
                        <pic:spPr bwMode="auto">
                          <a:xfrm>
                            <a:off x="0" y="0"/>
                            <a:ext cx="4620126" cy="3696101"/>
                          </a:xfrm>
                          <a:prstGeom prst="rect">
                            <a:avLst/>
                          </a:prstGeom>
                          <a:noFill/>
                          <a:ln w="9525">
                            <a:noFill/>
                            <a:headEnd/>
                            <a:tailEnd/>
                          </a:ln>
                        </pic:spPr>
                      </pic:pic>
                    </a:graphicData>
                  </a:graphic>
                </wp:inline>
              </w:drawing>
            </w:r>
          </w:p>
        </w:tc>
        <w:bookmarkEnd w:id="12"/>
      </w:tr>
    </w:tbl>
    <w:p w14:paraId="2BCC5B29" w14:textId="77777777" w:rsidR="007F58D0" w:rsidRPr="00EF7DCF" w:rsidRDefault="00C0288F">
      <w:r w:rsidRPr="00EF7DCF">
        <w:br w:type="page"/>
      </w:r>
    </w:p>
    <w:p w14:paraId="2BCC5B2A" w14:textId="77777777" w:rsidR="007F58D0" w:rsidRPr="00EF7DCF" w:rsidRDefault="00C0288F">
      <w:pPr>
        <w:pStyle w:val="Heading3"/>
        <w:rPr>
          <w:color w:val="auto"/>
        </w:rPr>
      </w:pPr>
      <w:bookmarkStart w:id="13" w:name="overall-survival"/>
      <w:bookmarkEnd w:id="10"/>
      <w:r w:rsidRPr="00EF7DCF">
        <w:rPr>
          <w:color w:val="auto"/>
        </w:rPr>
        <w:lastRenderedPageBreak/>
        <w:t>Overall survival</w:t>
      </w:r>
    </w:p>
    <w:p w14:paraId="2BCC5B2B" w14:textId="77777777" w:rsidR="007F58D0" w:rsidRPr="00EF7DCF" w:rsidRDefault="00C0288F">
      <w:pPr>
        <w:pStyle w:val="Heading4"/>
        <w:rPr>
          <w:color w:val="auto"/>
        </w:rPr>
      </w:pPr>
      <w:bookmarkStart w:id="14" w:name="base-k-m-plot"/>
      <w:r w:rsidRPr="00EF7DCF">
        <w:rPr>
          <w:color w:val="auto"/>
        </w:rPr>
        <w:t>Base K-M plot</w:t>
      </w:r>
    </w:p>
    <w:p w14:paraId="2BCC5B2C" w14:textId="77777777" w:rsidR="007F58D0" w:rsidRPr="00EF7DCF" w:rsidRDefault="00C0288F">
      <w:pPr>
        <w:pStyle w:val="FirstParagraph"/>
      </w:pPr>
      <w:r w:rsidRPr="00EF7DCF">
        <w:t>The Kaplan-Meier plot below shows survival over time for those receiving a treatment regimen of trastuzumab emtansine (including individuals who subsequently received trastuzumab deruxtecan).</w:t>
      </w:r>
    </w:p>
    <w:p w14:paraId="2BCC5B2D" w14:textId="77777777" w:rsidR="007F58D0" w:rsidRPr="00EF7DCF" w:rsidRDefault="00C0288F">
      <w:pPr>
        <w:pStyle w:val="BodyText"/>
      </w:pPr>
      <w:r w:rsidRPr="00EF7DCF">
        <w:t>Median survival was 23.95 months, and restricted mean survival (over the whole curve) was 35.05 months. The minimum follow-up time was 0 months, median 20.9 months, and maximum follow-up time of 93.9 months.</w:t>
      </w:r>
    </w:p>
    <w:tbl>
      <w:tblPr>
        <w:tblStyle w:val="Table"/>
        <w:tblW w:w="5000" w:type="pct"/>
        <w:tblLayout w:type="fixed"/>
        <w:tblLook w:val="0020" w:firstRow="1" w:lastRow="0" w:firstColumn="0" w:lastColumn="0" w:noHBand="0" w:noVBand="0"/>
      </w:tblPr>
      <w:tblGrid>
        <w:gridCol w:w="9360"/>
      </w:tblGrid>
      <w:tr w:rsidR="00EF7DCF" w:rsidRPr="00EF7DCF" w14:paraId="2BCC5B30"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2E" w14:textId="7AF99CE2" w:rsidR="007F58D0" w:rsidRPr="00EF7DCF" w:rsidRDefault="00C0288F">
            <w:pPr>
              <w:pStyle w:val="ImageCaption"/>
              <w:spacing w:before="200"/>
            </w:pPr>
            <w:bookmarkStart w:id="15" w:name="fig-km-ch1"/>
            <w:r w:rsidRPr="00EF7DCF">
              <w:t>Figure </w:t>
            </w:r>
            <w:r w:rsidR="004169B2" w:rsidRPr="00EF7DCF">
              <w:t>3</w:t>
            </w:r>
            <w:r w:rsidRPr="00EF7DCF">
              <w:t>: Overall survival amongst patients who have received trastuzumab emtansine</w:t>
            </w:r>
          </w:p>
          <w:p w14:paraId="2BCC5B2F" w14:textId="77777777" w:rsidR="007F58D0" w:rsidRPr="00EF7DCF" w:rsidRDefault="00C0288F">
            <w:pPr>
              <w:pStyle w:val="Compact"/>
              <w:jc w:val="center"/>
            </w:pPr>
            <w:r w:rsidRPr="00EF7DCF">
              <w:rPr>
                <w:noProof/>
              </w:rPr>
              <w:drawing>
                <wp:inline distT="0" distB="0" distL="0" distR="0" wp14:anchorId="2BCC5DA5" wp14:editId="2BCC5DA6">
                  <wp:extent cx="4620126" cy="3696101"/>
                  <wp:effectExtent l="0" t="0" r="0" b="0"/>
                  <wp:docPr id="40" name="Picture" title="A Kaplan-Meier plot showing overall survival over time for individuals who have received trastuzumab emtansine (including individuals who subsequently received trastuzumab deruxtecan)."/>
                  <wp:cNvGraphicFramePr/>
                  <a:graphic xmlns:a="http://schemas.openxmlformats.org/drawingml/2006/main">
                    <a:graphicData uri="http://schemas.openxmlformats.org/drawingml/2006/picture">
                      <pic:pic xmlns:pic="http://schemas.openxmlformats.org/drawingml/2006/picture">
                        <pic:nvPicPr>
                          <pic:cNvPr id="41" name="Picture" descr="ID5121_trast_derux_breast_cancer_monthly_ss_files/figure-docx/fig-km-ch1-1.png"/>
                          <pic:cNvPicPr>
                            <a:picLocks noChangeAspect="1" noChangeArrowheads="1"/>
                          </pic:cNvPicPr>
                        </pic:nvPicPr>
                        <pic:blipFill>
                          <a:blip r:embed="rId13"/>
                          <a:stretch>
                            <a:fillRect/>
                          </a:stretch>
                        </pic:blipFill>
                        <pic:spPr bwMode="auto">
                          <a:xfrm>
                            <a:off x="0" y="0"/>
                            <a:ext cx="4620126" cy="3696101"/>
                          </a:xfrm>
                          <a:prstGeom prst="rect">
                            <a:avLst/>
                          </a:prstGeom>
                          <a:noFill/>
                          <a:ln w="9525">
                            <a:noFill/>
                            <a:headEnd/>
                            <a:tailEnd/>
                          </a:ln>
                        </pic:spPr>
                      </pic:pic>
                    </a:graphicData>
                  </a:graphic>
                </wp:inline>
              </w:drawing>
            </w:r>
          </w:p>
        </w:tc>
        <w:bookmarkEnd w:id="15"/>
      </w:tr>
    </w:tbl>
    <w:p w14:paraId="2BCC5B31" w14:textId="77777777" w:rsidR="007F58D0" w:rsidRPr="00EF7DCF" w:rsidRDefault="00C0288F">
      <w:r w:rsidRPr="00EF7DCF">
        <w:br w:type="page"/>
      </w:r>
    </w:p>
    <w:p w14:paraId="2BCC5B32" w14:textId="77777777" w:rsidR="007F58D0" w:rsidRPr="00EF7DCF" w:rsidRDefault="00C0288F">
      <w:pPr>
        <w:pStyle w:val="Heading4"/>
        <w:rPr>
          <w:color w:val="auto"/>
        </w:rPr>
      </w:pPr>
      <w:bookmarkStart w:id="16" w:name="exponential"/>
      <w:bookmarkEnd w:id="14"/>
      <w:r w:rsidRPr="00EF7DCF">
        <w:rPr>
          <w:color w:val="auto"/>
        </w:rPr>
        <w:lastRenderedPageBreak/>
        <w:t>Exponential</w:t>
      </w:r>
    </w:p>
    <w:tbl>
      <w:tblPr>
        <w:tblStyle w:val="Table"/>
        <w:tblW w:w="5000" w:type="pct"/>
        <w:tblLayout w:type="fixed"/>
        <w:tblLook w:val="0020" w:firstRow="1" w:lastRow="0" w:firstColumn="0" w:lastColumn="0" w:noHBand="0" w:noVBand="0"/>
      </w:tblPr>
      <w:tblGrid>
        <w:gridCol w:w="9360"/>
      </w:tblGrid>
      <w:tr w:rsidR="00EF7DCF" w:rsidRPr="00EF7DCF" w14:paraId="2BCC5B35"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33" w14:textId="2989DC00" w:rsidR="007F58D0" w:rsidRPr="00EF7DCF" w:rsidRDefault="00C0288F">
            <w:pPr>
              <w:pStyle w:val="ImageCaption"/>
              <w:spacing w:before="200"/>
            </w:pPr>
            <w:bookmarkStart w:id="17" w:name="fig-km_exp-ch1"/>
            <w:r w:rsidRPr="00EF7DCF">
              <w:t>Figure </w:t>
            </w:r>
            <w:r w:rsidR="004169B2" w:rsidRPr="00EF7DCF">
              <w:t>4</w:t>
            </w:r>
            <w:r w:rsidRPr="00EF7DCF">
              <w:t>: Overall survival against exponential survival function</w:t>
            </w:r>
          </w:p>
          <w:p w14:paraId="2BCC5B34" w14:textId="77777777" w:rsidR="007F58D0" w:rsidRPr="00EF7DCF" w:rsidRDefault="00C0288F">
            <w:pPr>
              <w:pStyle w:val="Compact"/>
              <w:jc w:val="center"/>
            </w:pPr>
            <w:r w:rsidRPr="00EF7DCF">
              <w:rPr>
                <w:noProof/>
              </w:rPr>
              <w:drawing>
                <wp:inline distT="0" distB="0" distL="0" distR="0" wp14:anchorId="2BCC5DA7" wp14:editId="2BCC5DA8">
                  <wp:extent cx="4620126" cy="3696101"/>
                  <wp:effectExtent l="0" t="0" r="0" b="0"/>
                  <wp:docPr id="45" name="Picture" title="A Kaplan-Meier plot showing overall survival over time for individuals who have received trastuzumab emtansine (including individuals who subsequently received trastuzumab deruxtecan), with an overlaid exponential model fit."/>
                  <wp:cNvGraphicFramePr/>
                  <a:graphic xmlns:a="http://schemas.openxmlformats.org/drawingml/2006/main">
                    <a:graphicData uri="http://schemas.openxmlformats.org/drawingml/2006/picture">
                      <pic:pic xmlns:pic="http://schemas.openxmlformats.org/drawingml/2006/picture">
                        <pic:nvPicPr>
                          <pic:cNvPr id="46" name="Picture" descr="ID5121_trast_derux_breast_cancer_monthly_ss_files/figure-docx/fig-km_exp-ch1-1.png"/>
                          <pic:cNvPicPr>
                            <a:picLocks noChangeAspect="1" noChangeArrowheads="1"/>
                          </pic:cNvPicPr>
                        </pic:nvPicPr>
                        <pic:blipFill>
                          <a:blip r:embed="rId14"/>
                          <a:stretch>
                            <a:fillRect/>
                          </a:stretch>
                        </pic:blipFill>
                        <pic:spPr bwMode="auto">
                          <a:xfrm>
                            <a:off x="0" y="0"/>
                            <a:ext cx="4620126" cy="3696101"/>
                          </a:xfrm>
                          <a:prstGeom prst="rect">
                            <a:avLst/>
                          </a:prstGeom>
                          <a:noFill/>
                          <a:ln w="9525">
                            <a:noFill/>
                            <a:headEnd/>
                            <a:tailEnd/>
                          </a:ln>
                        </pic:spPr>
                      </pic:pic>
                    </a:graphicData>
                  </a:graphic>
                </wp:inline>
              </w:drawing>
            </w:r>
          </w:p>
        </w:tc>
        <w:bookmarkEnd w:id="17"/>
      </w:tr>
    </w:tbl>
    <w:p w14:paraId="2BCC5B36"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881"/>
        <w:gridCol w:w="723"/>
      </w:tblGrid>
      <w:tr w:rsidR="00EF7DCF" w:rsidRPr="00EF7DCF" w14:paraId="2BCC5B3C" w14:textId="77777777">
        <w:trPr>
          <w:cantSplit/>
          <w:tblHeader/>
          <w:jc w:val="center"/>
        </w:trPr>
        <w:tc>
          <w:tcPr>
            <w:tcW w:w="0" w:type="auto"/>
            <w:tcBorders>
              <w:top w:val="single" w:sz="16" w:space="0" w:color="D3D3D3"/>
              <w:left w:val="single" w:sz="0" w:space="0" w:color="D3D3D3"/>
              <w:bottom w:val="single" w:sz="16" w:space="0" w:color="D3D3D3"/>
            </w:tcBorders>
          </w:tcPr>
          <w:p w14:paraId="2BCC5B37"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B38"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B39"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B3A" w14:textId="77777777" w:rsidR="007F58D0" w:rsidRPr="00EF7DCF" w:rsidRDefault="00C0288F">
            <w:pPr>
              <w:keepNext/>
              <w:spacing w:after="60"/>
              <w:jc w:val="right"/>
            </w:pPr>
            <w:r w:rsidRPr="00EF7DCF">
              <w:rPr>
                <w:rFonts w:ascii="Calibri" w:hAnsi="Calibri"/>
                <w:sz w:val="20"/>
              </w:rPr>
              <w:t>z</w:t>
            </w:r>
          </w:p>
        </w:tc>
        <w:tc>
          <w:tcPr>
            <w:tcW w:w="0" w:type="auto"/>
            <w:tcBorders>
              <w:top w:val="single" w:sz="16" w:space="0" w:color="D3D3D3"/>
              <w:bottom w:val="single" w:sz="16" w:space="0" w:color="D3D3D3"/>
              <w:right w:val="single" w:sz="0" w:space="0" w:color="D3D3D3"/>
            </w:tcBorders>
          </w:tcPr>
          <w:p w14:paraId="2BCC5B3B" w14:textId="77777777" w:rsidR="007F58D0" w:rsidRPr="00EF7DCF" w:rsidRDefault="00C0288F">
            <w:pPr>
              <w:keepNext/>
              <w:spacing w:after="60"/>
              <w:jc w:val="right"/>
            </w:pPr>
            <w:r w:rsidRPr="00EF7DCF">
              <w:rPr>
                <w:rFonts w:ascii="Calibri" w:hAnsi="Calibri"/>
                <w:sz w:val="20"/>
              </w:rPr>
              <w:t>p-value</w:t>
            </w:r>
          </w:p>
        </w:tc>
      </w:tr>
      <w:tr w:rsidR="00EF7DCF" w:rsidRPr="00EF7DCF" w14:paraId="2BCC5B42"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B3D" w14:textId="77777777" w:rsidR="007F58D0" w:rsidRPr="00EF7DCF" w:rsidRDefault="00C0288F">
            <w:pPr>
              <w:keepNext/>
              <w:spacing w:after="60"/>
            </w:pPr>
            <w:r w:rsidRPr="00EF7DCF">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2BCC5B3E" w14:textId="77777777" w:rsidR="007F58D0" w:rsidRPr="00EF7DCF" w:rsidRDefault="00C0288F">
            <w:pPr>
              <w:keepNext/>
              <w:spacing w:after="60"/>
              <w:jc w:val="right"/>
            </w:pPr>
            <w:r w:rsidRPr="00EF7DCF">
              <w:rPr>
                <w:rFonts w:ascii="Calibri" w:hAnsi="Calibri"/>
                <w:sz w:val="20"/>
              </w:rPr>
              <w:t>3.615</w:t>
            </w:r>
          </w:p>
        </w:tc>
        <w:tc>
          <w:tcPr>
            <w:tcW w:w="0" w:type="auto"/>
            <w:tcBorders>
              <w:top w:val="single" w:sz="0" w:space="0" w:color="D3D3D3"/>
              <w:left w:val="single" w:sz="0" w:space="0" w:color="D3D3D3"/>
              <w:bottom w:val="single" w:sz="0" w:space="0" w:color="D3D3D3"/>
              <w:right w:val="single" w:sz="0" w:space="0" w:color="D3D3D3"/>
            </w:tcBorders>
          </w:tcPr>
          <w:p w14:paraId="2BCC5B3F" w14:textId="77777777" w:rsidR="007F58D0" w:rsidRPr="00EF7DCF" w:rsidRDefault="00C0288F">
            <w:pPr>
              <w:keepNext/>
              <w:spacing w:after="60"/>
              <w:jc w:val="right"/>
            </w:pPr>
            <w:r w:rsidRPr="00EF7DCF">
              <w:rPr>
                <w:rFonts w:ascii="Calibri" w:hAnsi="Calibri"/>
                <w:sz w:val="20"/>
              </w:rPr>
              <w:t>0.035</w:t>
            </w:r>
          </w:p>
        </w:tc>
        <w:tc>
          <w:tcPr>
            <w:tcW w:w="0" w:type="auto"/>
            <w:tcBorders>
              <w:top w:val="single" w:sz="0" w:space="0" w:color="D3D3D3"/>
              <w:left w:val="single" w:sz="0" w:space="0" w:color="D3D3D3"/>
              <w:bottom w:val="single" w:sz="0" w:space="0" w:color="D3D3D3"/>
              <w:right w:val="single" w:sz="0" w:space="0" w:color="D3D3D3"/>
            </w:tcBorders>
          </w:tcPr>
          <w:p w14:paraId="2BCC5B40" w14:textId="77777777" w:rsidR="007F58D0" w:rsidRPr="00EF7DCF" w:rsidRDefault="00C0288F">
            <w:pPr>
              <w:keepNext/>
              <w:spacing w:after="60"/>
              <w:jc w:val="right"/>
            </w:pPr>
            <w:r w:rsidRPr="00EF7DCF">
              <w:rPr>
                <w:rFonts w:ascii="Calibri" w:hAnsi="Calibri"/>
                <w:sz w:val="20"/>
              </w:rPr>
              <w:t>104.0116</w:t>
            </w:r>
          </w:p>
        </w:tc>
        <w:tc>
          <w:tcPr>
            <w:tcW w:w="0" w:type="auto"/>
            <w:tcBorders>
              <w:top w:val="single" w:sz="0" w:space="0" w:color="D3D3D3"/>
              <w:left w:val="single" w:sz="0" w:space="0" w:color="D3D3D3"/>
              <w:bottom w:val="single" w:sz="0" w:space="0" w:color="D3D3D3"/>
              <w:right w:val="single" w:sz="0" w:space="0" w:color="D3D3D3"/>
            </w:tcBorders>
          </w:tcPr>
          <w:p w14:paraId="2BCC5B41" w14:textId="77777777" w:rsidR="007F58D0" w:rsidRPr="00EF7DCF" w:rsidRDefault="00C0288F">
            <w:pPr>
              <w:keepNext/>
              <w:spacing w:after="60"/>
              <w:jc w:val="right"/>
            </w:pPr>
            <w:r w:rsidRPr="00EF7DCF">
              <w:rPr>
                <w:rFonts w:ascii="Calibri" w:hAnsi="Calibri"/>
                <w:sz w:val="20"/>
              </w:rPr>
              <w:t>0</w:t>
            </w:r>
          </w:p>
        </w:tc>
      </w:tr>
      <w:tr w:rsidR="00EF7DCF" w:rsidRPr="00EF7DCF" w14:paraId="2BCC5B44" w14:textId="77777777">
        <w:trPr>
          <w:cantSplit/>
          <w:jc w:val="center"/>
        </w:trPr>
        <w:tc>
          <w:tcPr>
            <w:tcW w:w="0" w:type="auto"/>
            <w:gridSpan w:val="5"/>
          </w:tcPr>
          <w:p w14:paraId="2BCC5B43" w14:textId="77777777" w:rsidR="007F58D0" w:rsidRPr="00EF7DCF" w:rsidRDefault="00C0288F">
            <w:pPr>
              <w:keepNext/>
              <w:spacing w:after="60"/>
            </w:pPr>
            <w:r w:rsidRPr="00EF7DCF">
              <w:rPr>
                <w:rFonts w:ascii="Calibri" w:hAnsi="Calibri"/>
                <w:sz w:val="20"/>
              </w:rPr>
              <w:t>log-likelihood = -3820.93150242912</w:t>
            </w:r>
          </w:p>
        </w:tc>
      </w:tr>
      <w:tr w:rsidR="00EF7DCF" w:rsidRPr="00EF7DCF" w14:paraId="2BCC5B46" w14:textId="77777777">
        <w:trPr>
          <w:cantSplit/>
          <w:jc w:val="center"/>
        </w:trPr>
        <w:tc>
          <w:tcPr>
            <w:tcW w:w="0" w:type="auto"/>
            <w:gridSpan w:val="5"/>
          </w:tcPr>
          <w:p w14:paraId="2BCC5B45" w14:textId="77777777" w:rsidR="007F58D0" w:rsidRPr="00EF7DCF" w:rsidRDefault="00C0288F">
            <w:pPr>
              <w:keepNext/>
              <w:spacing w:after="60"/>
            </w:pPr>
            <w:r w:rsidRPr="00EF7DCF">
              <w:rPr>
                <w:rFonts w:ascii="Calibri" w:hAnsi="Calibri"/>
                <w:sz w:val="20"/>
              </w:rPr>
              <w:t>AIC = 7643.86300485824</w:t>
            </w:r>
          </w:p>
        </w:tc>
      </w:tr>
      <w:tr w:rsidR="00EF7DCF" w:rsidRPr="00EF7DCF" w14:paraId="2BCC5B48" w14:textId="77777777">
        <w:trPr>
          <w:cantSplit/>
          <w:jc w:val="center"/>
        </w:trPr>
        <w:tc>
          <w:tcPr>
            <w:tcW w:w="0" w:type="auto"/>
            <w:gridSpan w:val="5"/>
          </w:tcPr>
          <w:p w14:paraId="2BCC5B47" w14:textId="77777777" w:rsidR="007F58D0" w:rsidRPr="00EF7DCF" w:rsidRDefault="00C0288F">
            <w:pPr>
              <w:keepNext/>
              <w:spacing w:after="60"/>
            </w:pPr>
            <w:r w:rsidRPr="00EF7DCF">
              <w:rPr>
                <w:rFonts w:ascii="Calibri" w:hAnsi="Calibri"/>
                <w:sz w:val="20"/>
              </w:rPr>
              <w:t>BIC = 7648.94471344434</w:t>
            </w:r>
          </w:p>
        </w:tc>
      </w:tr>
    </w:tbl>
    <w:tbl>
      <w:tblPr>
        <w:tblStyle w:val="Table"/>
        <w:tblW w:w="5000" w:type="pct"/>
        <w:tblLayout w:type="fixed"/>
        <w:tblLook w:val="0020" w:firstRow="1" w:lastRow="0" w:firstColumn="0" w:lastColumn="0" w:noHBand="0" w:noVBand="0"/>
      </w:tblPr>
      <w:tblGrid>
        <w:gridCol w:w="9360"/>
      </w:tblGrid>
      <w:tr w:rsidR="00EF7DCF" w:rsidRPr="00EF7DCF" w14:paraId="2BCC5B4D"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49" w14:textId="77777777" w:rsidR="007F58D0" w:rsidRPr="00EF7DCF" w:rsidRDefault="00C0288F">
            <w:pPr>
              <w:pStyle w:val="ImageCaption"/>
              <w:spacing w:before="200"/>
            </w:pPr>
            <w:bookmarkStart w:id="18" w:name="tbl-km-exp-ch1"/>
            <w:r w:rsidRPr="00EF7DCF">
              <w:t>Table 2: Survival model fit summary (exponential distribution)</w:t>
            </w:r>
          </w:p>
          <w:bookmarkEnd w:id="18"/>
          <w:p w14:paraId="2BCC5B4C" w14:textId="77777777" w:rsidR="007F58D0" w:rsidRPr="00EF7DCF" w:rsidRDefault="007F58D0"/>
        </w:tc>
      </w:tr>
    </w:tbl>
    <w:p w14:paraId="2BCC5B4E" w14:textId="77777777" w:rsidR="007F58D0" w:rsidRPr="00EF7DCF" w:rsidRDefault="00C0288F">
      <w:r w:rsidRPr="00EF7DCF">
        <w:br w:type="page"/>
      </w:r>
    </w:p>
    <w:p w14:paraId="2BCC5B4F" w14:textId="77777777" w:rsidR="007F58D0" w:rsidRPr="00EF7DCF" w:rsidRDefault="00C0288F">
      <w:pPr>
        <w:pStyle w:val="Heading4"/>
        <w:rPr>
          <w:color w:val="auto"/>
        </w:rPr>
      </w:pPr>
      <w:bookmarkStart w:id="19" w:name="weibull"/>
      <w:bookmarkEnd w:id="16"/>
      <w:r w:rsidRPr="00EF7DCF">
        <w:rPr>
          <w:color w:val="auto"/>
        </w:rPr>
        <w:lastRenderedPageBreak/>
        <w:t>Weibull</w:t>
      </w:r>
    </w:p>
    <w:tbl>
      <w:tblPr>
        <w:tblStyle w:val="Table"/>
        <w:tblW w:w="5000" w:type="pct"/>
        <w:tblLayout w:type="fixed"/>
        <w:tblLook w:val="0020" w:firstRow="1" w:lastRow="0" w:firstColumn="0" w:lastColumn="0" w:noHBand="0" w:noVBand="0"/>
      </w:tblPr>
      <w:tblGrid>
        <w:gridCol w:w="9360"/>
      </w:tblGrid>
      <w:tr w:rsidR="00EF7DCF" w:rsidRPr="00EF7DCF" w14:paraId="2BCC5B52"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50" w14:textId="5DE8CF99" w:rsidR="007F58D0" w:rsidRPr="00EF7DCF" w:rsidRDefault="00C0288F">
            <w:pPr>
              <w:pStyle w:val="ImageCaption"/>
              <w:spacing w:before="200"/>
            </w:pPr>
            <w:bookmarkStart w:id="20" w:name="fig-km-weibull-ch1"/>
            <w:r w:rsidRPr="00EF7DCF">
              <w:t>Figure </w:t>
            </w:r>
            <w:r w:rsidR="004169B2" w:rsidRPr="00EF7DCF">
              <w:t>5</w:t>
            </w:r>
            <w:r w:rsidRPr="00EF7DCF">
              <w:t>: Overall survival against Weibull survival function</w:t>
            </w:r>
          </w:p>
          <w:p w14:paraId="2BCC5B51" w14:textId="77777777" w:rsidR="007F58D0" w:rsidRPr="00EF7DCF" w:rsidRDefault="00C0288F">
            <w:pPr>
              <w:pStyle w:val="Compact"/>
              <w:jc w:val="center"/>
            </w:pPr>
            <w:r w:rsidRPr="00EF7DCF">
              <w:rPr>
                <w:noProof/>
              </w:rPr>
              <w:drawing>
                <wp:inline distT="0" distB="0" distL="0" distR="0" wp14:anchorId="2BCC5DA9" wp14:editId="2BCC5DAA">
                  <wp:extent cx="4620126" cy="3696101"/>
                  <wp:effectExtent l="0" t="0" r="0" b="0"/>
                  <wp:docPr id="51" name="Picture" title="A Kaplan-Meier plot showing overall survival over time for individuals who have received trastuzumab emtansine (including individuals who subsequently received trastuzumab deruxtecan), with an overlaid Weibull model fit."/>
                  <wp:cNvGraphicFramePr/>
                  <a:graphic xmlns:a="http://schemas.openxmlformats.org/drawingml/2006/main">
                    <a:graphicData uri="http://schemas.openxmlformats.org/drawingml/2006/picture">
                      <pic:pic xmlns:pic="http://schemas.openxmlformats.org/drawingml/2006/picture">
                        <pic:nvPicPr>
                          <pic:cNvPr id="52" name="Picture" descr="ID5121_trast_derux_breast_cancer_monthly_ss_files/figure-docx/fig-km-weibull-ch1-1.png"/>
                          <pic:cNvPicPr>
                            <a:picLocks noChangeAspect="1" noChangeArrowheads="1"/>
                          </pic:cNvPicPr>
                        </pic:nvPicPr>
                        <pic:blipFill>
                          <a:blip r:embed="rId15"/>
                          <a:stretch>
                            <a:fillRect/>
                          </a:stretch>
                        </pic:blipFill>
                        <pic:spPr bwMode="auto">
                          <a:xfrm>
                            <a:off x="0" y="0"/>
                            <a:ext cx="4620126" cy="3696101"/>
                          </a:xfrm>
                          <a:prstGeom prst="rect">
                            <a:avLst/>
                          </a:prstGeom>
                          <a:noFill/>
                          <a:ln w="9525">
                            <a:noFill/>
                            <a:headEnd/>
                            <a:tailEnd/>
                          </a:ln>
                        </pic:spPr>
                      </pic:pic>
                    </a:graphicData>
                  </a:graphic>
                </wp:inline>
              </w:drawing>
            </w:r>
          </w:p>
        </w:tc>
        <w:bookmarkEnd w:id="20"/>
      </w:tr>
    </w:tbl>
    <w:p w14:paraId="2BCC5B53"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1083"/>
        <w:gridCol w:w="982"/>
      </w:tblGrid>
      <w:tr w:rsidR="00EF7DCF" w:rsidRPr="00EF7DCF" w14:paraId="2BCC5B59" w14:textId="77777777">
        <w:trPr>
          <w:cantSplit/>
          <w:tblHeader/>
          <w:jc w:val="center"/>
        </w:trPr>
        <w:tc>
          <w:tcPr>
            <w:tcW w:w="0" w:type="auto"/>
            <w:tcBorders>
              <w:top w:val="single" w:sz="16" w:space="0" w:color="D3D3D3"/>
              <w:left w:val="single" w:sz="0" w:space="0" w:color="D3D3D3"/>
              <w:bottom w:val="single" w:sz="16" w:space="0" w:color="D3D3D3"/>
            </w:tcBorders>
          </w:tcPr>
          <w:p w14:paraId="2BCC5B54"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B55"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B56"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B57" w14:textId="77777777" w:rsidR="007F58D0" w:rsidRPr="00EF7DCF" w:rsidRDefault="00C0288F">
            <w:pPr>
              <w:keepNext/>
              <w:spacing w:after="60"/>
              <w:jc w:val="right"/>
            </w:pPr>
            <w:r w:rsidRPr="00EF7DCF">
              <w:rPr>
                <w:rFonts w:ascii="Calibri" w:hAnsi="Calibri"/>
                <w:sz w:val="20"/>
              </w:rPr>
              <w:t>z</w:t>
            </w:r>
          </w:p>
        </w:tc>
        <w:tc>
          <w:tcPr>
            <w:tcW w:w="0" w:type="auto"/>
            <w:tcBorders>
              <w:top w:val="single" w:sz="16" w:space="0" w:color="D3D3D3"/>
              <w:bottom w:val="single" w:sz="16" w:space="0" w:color="D3D3D3"/>
              <w:right w:val="single" w:sz="0" w:space="0" w:color="D3D3D3"/>
            </w:tcBorders>
          </w:tcPr>
          <w:p w14:paraId="2BCC5B58" w14:textId="77777777" w:rsidR="007F58D0" w:rsidRPr="00EF7DCF" w:rsidRDefault="00C0288F">
            <w:pPr>
              <w:keepNext/>
              <w:spacing w:after="60"/>
              <w:jc w:val="right"/>
            </w:pPr>
            <w:r w:rsidRPr="00EF7DCF">
              <w:rPr>
                <w:rFonts w:ascii="Calibri" w:hAnsi="Calibri"/>
                <w:sz w:val="20"/>
              </w:rPr>
              <w:t>p-value</w:t>
            </w:r>
          </w:p>
        </w:tc>
      </w:tr>
      <w:tr w:rsidR="00EF7DCF" w:rsidRPr="00EF7DCF" w14:paraId="2BCC5B5F"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B5A" w14:textId="77777777" w:rsidR="007F58D0" w:rsidRPr="00EF7DCF" w:rsidRDefault="00C0288F">
            <w:pPr>
              <w:keepNext/>
              <w:spacing w:after="60"/>
            </w:pPr>
            <w:r w:rsidRPr="00EF7DCF">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2BCC5B5B" w14:textId="77777777" w:rsidR="007F58D0" w:rsidRPr="00EF7DCF" w:rsidRDefault="00C0288F">
            <w:pPr>
              <w:keepNext/>
              <w:spacing w:after="60"/>
              <w:jc w:val="right"/>
            </w:pPr>
            <w:r w:rsidRPr="00EF7DCF">
              <w:rPr>
                <w:rFonts w:ascii="Calibri" w:hAnsi="Calibri"/>
                <w:sz w:val="20"/>
              </w:rPr>
              <w:t>3.612</w:t>
            </w:r>
          </w:p>
        </w:tc>
        <w:tc>
          <w:tcPr>
            <w:tcW w:w="0" w:type="auto"/>
            <w:tcBorders>
              <w:top w:val="single" w:sz="0" w:space="0" w:color="D3D3D3"/>
              <w:left w:val="single" w:sz="0" w:space="0" w:color="D3D3D3"/>
              <w:bottom w:val="single" w:sz="0" w:space="0" w:color="D3D3D3"/>
              <w:right w:val="single" w:sz="0" w:space="0" w:color="D3D3D3"/>
            </w:tcBorders>
          </w:tcPr>
          <w:p w14:paraId="2BCC5B5C" w14:textId="77777777" w:rsidR="007F58D0" w:rsidRPr="00EF7DCF" w:rsidRDefault="00C0288F">
            <w:pPr>
              <w:keepNext/>
              <w:spacing w:after="60"/>
              <w:jc w:val="right"/>
            </w:pPr>
            <w:r w:rsidRPr="00EF7DCF">
              <w:rPr>
                <w:rFonts w:ascii="Calibri" w:hAnsi="Calibri"/>
                <w:sz w:val="20"/>
              </w:rPr>
              <w:t>0.033</w:t>
            </w:r>
          </w:p>
        </w:tc>
        <w:tc>
          <w:tcPr>
            <w:tcW w:w="0" w:type="auto"/>
            <w:tcBorders>
              <w:top w:val="single" w:sz="0" w:space="0" w:color="D3D3D3"/>
              <w:left w:val="single" w:sz="0" w:space="0" w:color="D3D3D3"/>
              <w:bottom w:val="single" w:sz="0" w:space="0" w:color="D3D3D3"/>
              <w:right w:val="single" w:sz="0" w:space="0" w:color="D3D3D3"/>
            </w:tcBorders>
          </w:tcPr>
          <w:p w14:paraId="2BCC5B5D" w14:textId="77777777" w:rsidR="007F58D0" w:rsidRPr="00EF7DCF" w:rsidRDefault="00C0288F">
            <w:pPr>
              <w:keepNext/>
              <w:spacing w:after="60"/>
              <w:jc w:val="right"/>
            </w:pPr>
            <w:r w:rsidRPr="00EF7DCF">
              <w:rPr>
                <w:rFonts w:ascii="Calibri" w:hAnsi="Calibri"/>
                <w:sz w:val="20"/>
              </w:rPr>
              <w:t>108.253644</w:t>
            </w:r>
          </w:p>
        </w:tc>
        <w:tc>
          <w:tcPr>
            <w:tcW w:w="0" w:type="auto"/>
            <w:tcBorders>
              <w:top w:val="single" w:sz="0" w:space="0" w:color="D3D3D3"/>
              <w:left w:val="single" w:sz="0" w:space="0" w:color="D3D3D3"/>
              <w:bottom w:val="single" w:sz="0" w:space="0" w:color="D3D3D3"/>
              <w:right w:val="single" w:sz="0" w:space="0" w:color="D3D3D3"/>
            </w:tcBorders>
          </w:tcPr>
          <w:p w14:paraId="2BCC5B5E" w14:textId="77777777" w:rsidR="007F58D0" w:rsidRPr="00EF7DCF" w:rsidRDefault="00C0288F">
            <w:pPr>
              <w:keepNext/>
              <w:spacing w:after="60"/>
              <w:jc w:val="right"/>
            </w:pPr>
            <w:r w:rsidRPr="00EF7DCF">
              <w:rPr>
                <w:rFonts w:ascii="Calibri" w:hAnsi="Calibri"/>
                <w:sz w:val="20"/>
              </w:rPr>
              <w:t>0.0000000</w:t>
            </w:r>
          </w:p>
        </w:tc>
      </w:tr>
      <w:tr w:rsidR="00EF7DCF" w:rsidRPr="00EF7DCF" w14:paraId="2BCC5B65"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B60" w14:textId="77777777" w:rsidR="007F58D0" w:rsidRPr="00EF7DCF" w:rsidRDefault="00C0288F">
            <w:pPr>
              <w:keepNext/>
              <w:spacing w:after="60"/>
            </w:pPr>
            <w:r w:rsidRPr="00EF7DCF">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2BCC5B61" w14:textId="77777777" w:rsidR="007F58D0" w:rsidRPr="00EF7DCF" w:rsidRDefault="00C0288F">
            <w:pPr>
              <w:keepNext/>
              <w:spacing w:after="60"/>
              <w:jc w:val="right"/>
            </w:pPr>
            <w:r w:rsidRPr="00EF7DCF">
              <w:rPr>
                <w:rFonts w:ascii="Calibri" w:hAnsi="Calibri"/>
                <w:sz w:val="20"/>
              </w:rPr>
              <w:t>-0.042</w:t>
            </w:r>
          </w:p>
        </w:tc>
        <w:tc>
          <w:tcPr>
            <w:tcW w:w="0" w:type="auto"/>
            <w:tcBorders>
              <w:top w:val="single" w:sz="0" w:space="0" w:color="D3D3D3"/>
              <w:left w:val="single" w:sz="0" w:space="0" w:color="D3D3D3"/>
              <w:bottom w:val="single" w:sz="0" w:space="0" w:color="D3D3D3"/>
              <w:right w:val="single" w:sz="0" w:space="0" w:color="D3D3D3"/>
            </w:tcBorders>
          </w:tcPr>
          <w:p w14:paraId="2BCC5B62" w14:textId="77777777" w:rsidR="007F58D0" w:rsidRPr="00EF7DCF" w:rsidRDefault="00C0288F">
            <w:pPr>
              <w:keepNext/>
              <w:spacing w:after="60"/>
              <w:jc w:val="right"/>
            </w:pPr>
            <w:r w:rsidRPr="00EF7DCF">
              <w:rPr>
                <w:rFonts w:ascii="Calibri" w:hAnsi="Calibri"/>
                <w:sz w:val="20"/>
              </w:rPr>
              <w:t>0.029</w:t>
            </w:r>
          </w:p>
        </w:tc>
        <w:tc>
          <w:tcPr>
            <w:tcW w:w="0" w:type="auto"/>
            <w:tcBorders>
              <w:top w:val="single" w:sz="0" w:space="0" w:color="D3D3D3"/>
              <w:left w:val="single" w:sz="0" w:space="0" w:color="D3D3D3"/>
              <w:bottom w:val="single" w:sz="0" w:space="0" w:color="D3D3D3"/>
              <w:right w:val="single" w:sz="0" w:space="0" w:color="D3D3D3"/>
            </w:tcBorders>
          </w:tcPr>
          <w:p w14:paraId="2BCC5B63" w14:textId="77777777" w:rsidR="007F58D0" w:rsidRPr="00EF7DCF" w:rsidRDefault="00C0288F">
            <w:pPr>
              <w:keepNext/>
              <w:spacing w:after="60"/>
              <w:jc w:val="right"/>
            </w:pPr>
            <w:r w:rsidRPr="00EF7DCF">
              <w:rPr>
                <w:rFonts w:ascii="Calibri" w:hAnsi="Calibri"/>
                <w:sz w:val="20"/>
              </w:rPr>
              <w:t>-1.461568</w:t>
            </w:r>
          </w:p>
        </w:tc>
        <w:tc>
          <w:tcPr>
            <w:tcW w:w="0" w:type="auto"/>
            <w:tcBorders>
              <w:top w:val="single" w:sz="0" w:space="0" w:color="D3D3D3"/>
              <w:left w:val="single" w:sz="0" w:space="0" w:color="D3D3D3"/>
              <w:bottom w:val="single" w:sz="0" w:space="0" w:color="D3D3D3"/>
              <w:right w:val="single" w:sz="0" w:space="0" w:color="D3D3D3"/>
            </w:tcBorders>
          </w:tcPr>
          <w:p w14:paraId="2BCC5B64" w14:textId="77777777" w:rsidR="007F58D0" w:rsidRPr="00EF7DCF" w:rsidRDefault="00C0288F">
            <w:pPr>
              <w:keepNext/>
              <w:spacing w:after="60"/>
              <w:jc w:val="right"/>
            </w:pPr>
            <w:r w:rsidRPr="00EF7DCF">
              <w:rPr>
                <w:rFonts w:ascii="Calibri" w:hAnsi="Calibri"/>
                <w:sz w:val="20"/>
              </w:rPr>
              <w:t>0.1438596</w:t>
            </w:r>
          </w:p>
        </w:tc>
      </w:tr>
      <w:tr w:rsidR="00EF7DCF" w:rsidRPr="00EF7DCF" w14:paraId="2BCC5B67" w14:textId="77777777">
        <w:trPr>
          <w:cantSplit/>
          <w:jc w:val="center"/>
        </w:trPr>
        <w:tc>
          <w:tcPr>
            <w:tcW w:w="0" w:type="auto"/>
            <w:gridSpan w:val="5"/>
          </w:tcPr>
          <w:p w14:paraId="2BCC5B66" w14:textId="77777777" w:rsidR="007F58D0" w:rsidRPr="00EF7DCF" w:rsidRDefault="00C0288F">
            <w:pPr>
              <w:keepNext/>
              <w:spacing w:after="60"/>
            </w:pPr>
            <w:r w:rsidRPr="00EF7DCF">
              <w:rPr>
                <w:rFonts w:ascii="Calibri" w:hAnsi="Calibri"/>
                <w:sz w:val="20"/>
              </w:rPr>
              <w:t>log-likelihood = -3819.88453946942</w:t>
            </w:r>
          </w:p>
        </w:tc>
      </w:tr>
      <w:tr w:rsidR="00EF7DCF" w:rsidRPr="00EF7DCF" w14:paraId="2BCC5B69" w14:textId="77777777">
        <w:trPr>
          <w:cantSplit/>
          <w:jc w:val="center"/>
        </w:trPr>
        <w:tc>
          <w:tcPr>
            <w:tcW w:w="0" w:type="auto"/>
            <w:gridSpan w:val="5"/>
          </w:tcPr>
          <w:p w14:paraId="2BCC5B68" w14:textId="77777777" w:rsidR="007F58D0" w:rsidRPr="00EF7DCF" w:rsidRDefault="00C0288F">
            <w:pPr>
              <w:keepNext/>
              <w:spacing w:after="60"/>
            </w:pPr>
            <w:r w:rsidRPr="00EF7DCF">
              <w:rPr>
                <w:rFonts w:ascii="Calibri" w:hAnsi="Calibri"/>
                <w:sz w:val="20"/>
              </w:rPr>
              <w:t>AIC = 7643.76907893884</w:t>
            </w:r>
          </w:p>
        </w:tc>
      </w:tr>
      <w:tr w:rsidR="00EF7DCF" w:rsidRPr="00EF7DCF" w14:paraId="2BCC5B6B" w14:textId="77777777">
        <w:trPr>
          <w:cantSplit/>
          <w:jc w:val="center"/>
        </w:trPr>
        <w:tc>
          <w:tcPr>
            <w:tcW w:w="0" w:type="auto"/>
            <w:gridSpan w:val="5"/>
          </w:tcPr>
          <w:p w14:paraId="2BCC5B6A" w14:textId="77777777" w:rsidR="007F58D0" w:rsidRPr="00EF7DCF" w:rsidRDefault="00C0288F">
            <w:pPr>
              <w:keepNext/>
              <w:spacing w:after="60"/>
            </w:pPr>
            <w:r w:rsidRPr="00EF7DCF">
              <w:rPr>
                <w:rFonts w:ascii="Calibri" w:hAnsi="Calibri"/>
                <w:sz w:val="20"/>
              </w:rPr>
              <w:t>BIC = 7653.93249611105</w:t>
            </w:r>
          </w:p>
        </w:tc>
      </w:tr>
    </w:tbl>
    <w:tbl>
      <w:tblPr>
        <w:tblStyle w:val="Table"/>
        <w:tblW w:w="5000" w:type="pct"/>
        <w:tblLayout w:type="fixed"/>
        <w:tblLook w:val="0020" w:firstRow="1" w:lastRow="0" w:firstColumn="0" w:lastColumn="0" w:noHBand="0" w:noVBand="0"/>
      </w:tblPr>
      <w:tblGrid>
        <w:gridCol w:w="9360"/>
      </w:tblGrid>
      <w:tr w:rsidR="00EF7DCF" w:rsidRPr="00EF7DCF" w14:paraId="2BCC5B70"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6C" w14:textId="77777777" w:rsidR="007F58D0" w:rsidRPr="00EF7DCF" w:rsidRDefault="00C0288F">
            <w:pPr>
              <w:pStyle w:val="ImageCaption"/>
              <w:spacing w:before="200"/>
            </w:pPr>
            <w:bookmarkStart w:id="21" w:name="tbl-km-weibull-ch1"/>
            <w:r w:rsidRPr="00EF7DCF">
              <w:t>Table 3: Survival model fit summary (Weibull distribution)</w:t>
            </w:r>
          </w:p>
          <w:bookmarkEnd w:id="21"/>
          <w:p w14:paraId="2BCC5B6F" w14:textId="77777777" w:rsidR="007F58D0" w:rsidRPr="00EF7DCF" w:rsidRDefault="007F58D0"/>
        </w:tc>
      </w:tr>
    </w:tbl>
    <w:p w14:paraId="2BCC5B71" w14:textId="77777777" w:rsidR="007F58D0" w:rsidRPr="00EF7DCF" w:rsidRDefault="00C0288F">
      <w:r w:rsidRPr="00EF7DCF">
        <w:br w:type="page"/>
      </w:r>
    </w:p>
    <w:p w14:paraId="2BCC5B72" w14:textId="77777777" w:rsidR="007F58D0" w:rsidRPr="00EF7DCF" w:rsidRDefault="00C0288F">
      <w:pPr>
        <w:pStyle w:val="Heading4"/>
        <w:rPr>
          <w:color w:val="auto"/>
        </w:rPr>
      </w:pPr>
      <w:bookmarkStart w:id="22" w:name="log-normal"/>
      <w:bookmarkEnd w:id="19"/>
      <w:r w:rsidRPr="00EF7DCF">
        <w:rPr>
          <w:color w:val="auto"/>
        </w:rPr>
        <w:lastRenderedPageBreak/>
        <w:t>Log-normal</w:t>
      </w:r>
    </w:p>
    <w:tbl>
      <w:tblPr>
        <w:tblStyle w:val="Table"/>
        <w:tblW w:w="5000" w:type="pct"/>
        <w:tblLayout w:type="fixed"/>
        <w:tblLook w:val="0020" w:firstRow="1" w:lastRow="0" w:firstColumn="0" w:lastColumn="0" w:noHBand="0" w:noVBand="0"/>
      </w:tblPr>
      <w:tblGrid>
        <w:gridCol w:w="9360"/>
      </w:tblGrid>
      <w:tr w:rsidR="00EF7DCF" w:rsidRPr="00EF7DCF" w14:paraId="2BCC5B75"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73" w14:textId="55E4A027" w:rsidR="007F58D0" w:rsidRPr="00EF7DCF" w:rsidRDefault="00C0288F">
            <w:pPr>
              <w:pStyle w:val="ImageCaption"/>
              <w:spacing w:before="200"/>
            </w:pPr>
            <w:bookmarkStart w:id="23" w:name="fig-km-log_normal-ch1"/>
            <w:r w:rsidRPr="00EF7DCF">
              <w:t>Figure </w:t>
            </w:r>
            <w:r w:rsidR="004169B2" w:rsidRPr="00EF7DCF">
              <w:t>6</w:t>
            </w:r>
            <w:r w:rsidRPr="00EF7DCF">
              <w:t xml:space="preserve"> Overall survival against log-normal survival function</w:t>
            </w:r>
          </w:p>
          <w:p w14:paraId="2BCC5B74" w14:textId="77777777" w:rsidR="007F58D0" w:rsidRPr="00EF7DCF" w:rsidRDefault="00C0288F">
            <w:pPr>
              <w:pStyle w:val="Compact"/>
              <w:jc w:val="center"/>
            </w:pPr>
            <w:r w:rsidRPr="00EF7DCF">
              <w:rPr>
                <w:noProof/>
              </w:rPr>
              <w:drawing>
                <wp:inline distT="0" distB="0" distL="0" distR="0" wp14:anchorId="2BCC5DAB" wp14:editId="2BCC5DAC">
                  <wp:extent cx="4620126" cy="3696101"/>
                  <wp:effectExtent l="0" t="0" r="0" b="0"/>
                  <wp:docPr id="57" name="Picture" title="A Kaplan-Meier plot showing overall survival over time for individuals who have received trastuzumab emtansine (including individuals who subsequently received trastuzumab deruxtecan), with an overlaid log-normal model fit."/>
                  <wp:cNvGraphicFramePr/>
                  <a:graphic xmlns:a="http://schemas.openxmlformats.org/drawingml/2006/main">
                    <a:graphicData uri="http://schemas.openxmlformats.org/drawingml/2006/picture">
                      <pic:pic xmlns:pic="http://schemas.openxmlformats.org/drawingml/2006/picture">
                        <pic:nvPicPr>
                          <pic:cNvPr id="58" name="Picture" descr="ID5121_trast_derux_breast_cancer_monthly_ss_files/figure-docx/fig-km-log_normal-ch1-1.png"/>
                          <pic:cNvPicPr>
                            <a:picLocks noChangeAspect="1" noChangeArrowheads="1"/>
                          </pic:cNvPicPr>
                        </pic:nvPicPr>
                        <pic:blipFill>
                          <a:blip r:embed="rId16"/>
                          <a:stretch>
                            <a:fillRect/>
                          </a:stretch>
                        </pic:blipFill>
                        <pic:spPr bwMode="auto">
                          <a:xfrm>
                            <a:off x="0" y="0"/>
                            <a:ext cx="4620126" cy="3696101"/>
                          </a:xfrm>
                          <a:prstGeom prst="rect">
                            <a:avLst/>
                          </a:prstGeom>
                          <a:noFill/>
                          <a:ln w="9525">
                            <a:noFill/>
                            <a:headEnd/>
                            <a:tailEnd/>
                          </a:ln>
                        </pic:spPr>
                      </pic:pic>
                    </a:graphicData>
                  </a:graphic>
                </wp:inline>
              </w:drawing>
            </w:r>
          </w:p>
        </w:tc>
        <w:bookmarkEnd w:id="23"/>
      </w:tr>
    </w:tbl>
    <w:p w14:paraId="2BCC5B76"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1282"/>
      </w:tblGrid>
      <w:tr w:rsidR="00EF7DCF" w:rsidRPr="00EF7DCF" w14:paraId="2BCC5B7C" w14:textId="77777777">
        <w:trPr>
          <w:cantSplit/>
          <w:tblHeader/>
          <w:jc w:val="center"/>
        </w:trPr>
        <w:tc>
          <w:tcPr>
            <w:tcW w:w="0" w:type="auto"/>
            <w:tcBorders>
              <w:top w:val="single" w:sz="16" w:space="0" w:color="D3D3D3"/>
              <w:left w:val="single" w:sz="0" w:space="0" w:color="D3D3D3"/>
              <w:bottom w:val="single" w:sz="16" w:space="0" w:color="D3D3D3"/>
            </w:tcBorders>
          </w:tcPr>
          <w:p w14:paraId="2BCC5B77"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B78"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B79"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B7A" w14:textId="77777777" w:rsidR="007F58D0" w:rsidRPr="00EF7DCF" w:rsidRDefault="00C0288F">
            <w:pPr>
              <w:keepNext/>
              <w:spacing w:after="60"/>
              <w:jc w:val="right"/>
            </w:pPr>
            <w:r w:rsidRPr="00EF7DCF">
              <w:rPr>
                <w:rFonts w:ascii="Calibri" w:hAnsi="Calibri"/>
                <w:sz w:val="20"/>
              </w:rPr>
              <w:t>z</w:t>
            </w:r>
          </w:p>
        </w:tc>
        <w:tc>
          <w:tcPr>
            <w:tcW w:w="0" w:type="auto"/>
            <w:tcBorders>
              <w:top w:val="single" w:sz="16" w:space="0" w:color="D3D3D3"/>
              <w:bottom w:val="single" w:sz="16" w:space="0" w:color="D3D3D3"/>
              <w:right w:val="single" w:sz="0" w:space="0" w:color="D3D3D3"/>
            </w:tcBorders>
          </w:tcPr>
          <w:p w14:paraId="2BCC5B7B" w14:textId="77777777" w:rsidR="007F58D0" w:rsidRPr="00EF7DCF" w:rsidRDefault="00C0288F">
            <w:pPr>
              <w:keepNext/>
              <w:spacing w:after="60"/>
              <w:jc w:val="right"/>
            </w:pPr>
            <w:r w:rsidRPr="00EF7DCF">
              <w:rPr>
                <w:rFonts w:ascii="Calibri" w:hAnsi="Calibri"/>
                <w:sz w:val="20"/>
              </w:rPr>
              <w:t>p-value</w:t>
            </w:r>
          </w:p>
        </w:tc>
      </w:tr>
      <w:tr w:rsidR="00EF7DCF" w:rsidRPr="00EF7DCF" w14:paraId="2BCC5B82"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B7D" w14:textId="77777777" w:rsidR="007F58D0" w:rsidRPr="00EF7DCF" w:rsidRDefault="00C0288F">
            <w:pPr>
              <w:keepNext/>
              <w:spacing w:after="60"/>
            </w:pPr>
            <w:r w:rsidRPr="00EF7DCF">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2BCC5B7E" w14:textId="77777777" w:rsidR="007F58D0" w:rsidRPr="00EF7DCF" w:rsidRDefault="00C0288F">
            <w:pPr>
              <w:keepNext/>
              <w:spacing w:after="60"/>
              <w:jc w:val="right"/>
            </w:pPr>
            <w:r w:rsidRPr="00EF7DCF">
              <w:rPr>
                <w:rFonts w:ascii="Calibri" w:hAnsi="Calibri"/>
                <w:sz w:val="20"/>
              </w:rPr>
              <w:t>3.163</w:t>
            </w:r>
          </w:p>
        </w:tc>
        <w:tc>
          <w:tcPr>
            <w:tcW w:w="0" w:type="auto"/>
            <w:tcBorders>
              <w:top w:val="single" w:sz="0" w:space="0" w:color="D3D3D3"/>
              <w:left w:val="single" w:sz="0" w:space="0" w:color="D3D3D3"/>
              <w:bottom w:val="single" w:sz="0" w:space="0" w:color="D3D3D3"/>
              <w:right w:val="single" w:sz="0" w:space="0" w:color="D3D3D3"/>
            </w:tcBorders>
          </w:tcPr>
          <w:p w14:paraId="2BCC5B7F" w14:textId="77777777" w:rsidR="007F58D0" w:rsidRPr="00EF7DCF" w:rsidRDefault="00C0288F">
            <w:pPr>
              <w:keepNext/>
              <w:spacing w:after="60"/>
              <w:jc w:val="right"/>
            </w:pPr>
            <w:r w:rsidRPr="00EF7DCF">
              <w:rPr>
                <w:rFonts w:ascii="Calibri" w:hAnsi="Calibri"/>
                <w:sz w:val="20"/>
              </w:rPr>
              <w:t>0.040</w:t>
            </w:r>
          </w:p>
        </w:tc>
        <w:tc>
          <w:tcPr>
            <w:tcW w:w="0" w:type="auto"/>
            <w:tcBorders>
              <w:top w:val="single" w:sz="0" w:space="0" w:color="D3D3D3"/>
              <w:left w:val="single" w:sz="0" w:space="0" w:color="D3D3D3"/>
              <w:bottom w:val="single" w:sz="0" w:space="0" w:color="D3D3D3"/>
              <w:right w:val="single" w:sz="0" w:space="0" w:color="D3D3D3"/>
            </w:tcBorders>
          </w:tcPr>
          <w:p w14:paraId="2BCC5B80" w14:textId="77777777" w:rsidR="007F58D0" w:rsidRPr="00EF7DCF" w:rsidRDefault="00C0288F">
            <w:pPr>
              <w:keepNext/>
              <w:spacing w:after="60"/>
              <w:jc w:val="right"/>
            </w:pPr>
            <w:r w:rsidRPr="00EF7DCF">
              <w:rPr>
                <w:rFonts w:ascii="Calibri" w:hAnsi="Calibri"/>
                <w:sz w:val="20"/>
              </w:rPr>
              <w:t>79.756206</w:t>
            </w:r>
          </w:p>
        </w:tc>
        <w:tc>
          <w:tcPr>
            <w:tcW w:w="0" w:type="auto"/>
            <w:tcBorders>
              <w:top w:val="single" w:sz="0" w:space="0" w:color="D3D3D3"/>
              <w:left w:val="single" w:sz="0" w:space="0" w:color="D3D3D3"/>
              <w:bottom w:val="single" w:sz="0" w:space="0" w:color="D3D3D3"/>
              <w:right w:val="single" w:sz="0" w:space="0" w:color="D3D3D3"/>
            </w:tcBorders>
          </w:tcPr>
          <w:p w14:paraId="2BCC5B81" w14:textId="77777777" w:rsidR="007F58D0" w:rsidRPr="00EF7DCF" w:rsidRDefault="00C0288F">
            <w:pPr>
              <w:keepNext/>
              <w:spacing w:after="60"/>
              <w:jc w:val="right"/>
            </w:pPr>
            <w:r w:rsidRPr="00EF7DCF">
              <w:rPr>
                <w:rFonts w:ascii="Calibri" w:hAnsi="Calibri"/>
                <w:sz w:val="20"/>
              </w:rPr>
              <w:t>0.000000e+00</w:t>
            </w:r>
          </w:p>
        </w:tc>
      </w:tr>
      <w:tr w:rsidR="00EF7DCF" w:rsidRPr="00EF7DCF" w14:paraId="2BCC5B88"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B83" w14:textId="77777777" w:rsidR="007F58D0" w:rsidRPr="00EF7DCF" w:rsidRDefault="00C0288F">
            <w:pPr>
              <w:keepNext/>
              <w:spacing w:after="60"/>
            </w:pPr>
            <w:r w:rsidRPr="00EF7DCF">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2BCC5B84" w14:textId="77777777" w:rsidR="007F58D0" w:rsidRPr="00EF7DCF" w:rsidRDefault="00C0288F">
            <w:pPr>
              <w:keepNext/>
              <w:spacing w:after="60"/>
              <w:jc w:val="right"/>
            </w:pPr>
            <w:r w:rsidRPr="00EF7DCF">
              <w:rPr>
                <w:rFonts w:ascii="Calibri" w:hAnsi="Calibri"/>
                <w:sz w:val="20"/>
              </w:rPr>
              <w:t>0.239</w:t>
            </w:r>
          </w:p>
        </w:tc>
        <w:tc>
          <w:tcPr>
            <w:tcW w:w="0" w:type="auto"/>
            <w:tcBorders>
              <w:top w:val="single" w:sz="0" w:space="0" w:color="D3D3D3"/>
              <w:left w:val="single" w:sz="0" w:space="0" w:color="D3D3D3"/>
              <w:bottom w:val="single" w:sz="0" w:space="0" w:color="D3D3D3"/>
              <w:right w:val="single" w:sz="0" w:space="0" w:color="D3D3D3"/>
            </w:tcBorders>
          </w:tcPr>
          <w:p w14:paraId="2BCC5B85" w14:textId="77777777" w:rsidR="007F58D0" w:rsidRPr="00EF7DCF" w:rsidRDefault="00C0288F">
            <w:pPr>
              <w:keepNext/>
              <w:spacing w:after="60"/>
              <w:jc w:val="right"/>
            </w:pPr>
            <w:r w:rsidRPr="00EF7DCF">
              <w:rPr>
                <w:rFonts w:ascii="Calibri" w:hAnsi="Calibri"/>
                <w:sz w:val="20"/>
              </w:rPr>
              <w:t>0.026</w:t>
            </w:r>
          </w:p>
        </w:tc>
        <w:tc>
          <w:tcPr>
            <w:tcW w:w="0" w:type="auto"/>
            <w:tcBorders>
              <w:top w:val="single" w:sz="0" w:space="0" w:color="D3D3D3"/>
              <w:left w:val="single" w:sz="0" w:space="0" w:color="D3D3D3"/>
              <w:bottom w:val="single" w:sz="0" w:space="0" w:color="D3D3D3"/>
              <w:right w:val="single" w:sz="0" w:space="0" w:color="D3D3D3"/>
            </w:tcBorders>
          </w:tcPr>
          <w:p w14:paraId="2BCC5B86" w14:textId="77777777" w:rsidR="007F58D0" w:rsidRPr="00EF7DCF" w:rsidRDefault="00C0288F">
            <w:pPr>
              <w:keepNext/>
              <w:spacing w:after="60"/>
              <w:jc w:val="right"/>
            </w:pPr>
            <w:r w:rsidRPr="00EF7DCF">
              <w:rPr>
                <w:rFonts w:ascii="Calibri" w:hAnsi="Calibri"/>
                <w:sz w:val="20"/>
              </w:rPr>
              <w:t>9.263546</w:t>
            </w:r>
          </w:p>
        </w:tc>
        <w:tc>
          <w:tcPr>
            <w:tcW w:w="0" w:type="auto"/>
            <w:tcBorders>
              <w:top w:val="single" w:sz="0" w:space="0" w:color="D3D3D3"/>
              <w:left w:val="single" w:sz="0" w:space="0" w:color="D3D3D3"/>
              <w:bottom w:val="single" w:sz="0" w:space="0" w:color="D3D3D3"/>
              <w:right w:val="single" w:sz="0" w:space="0" w:color="D3D3D3"/>
            </w:tcBorders>
          </w:tcPr>
          <w:p w14:paraId="2BCC5B87" w14:textId="77777777" w:rsidR="007F58D0" w:rsidRPr="00EF7DCF" w:rsidRDefault="00C0288F">
            <w:pPr>
              <w:keepNext/>
              <w:spacing w:after="60"/>
              <w:jc w:val="right"/>
            </w:pPr>
            <w:r w:rsidRPr="00EF7DCF">
              <w:rPr>
                <w:rFonts w:ascii="Calibri" w:hAnsi="Calibri"/>
                <w:sz w:val="20"/>
              </w:rPr>
              <w:t>1.977538e-20</w:t>
            </w:r>
          </w:p>
        </w:tc>
      </w:tr>
      <w:tr w:rsidR="00EF7DCF" w:rsidRPr="00EF7DCF" w14:paraId="2BCC5B8A" w14:textId="77777777">
        <w:trPr>
          <w:cantSplit/>
          <w:jc w:val="center"/>
        </w:trPr>
        <w:tc>
          <w:tcPr>
            <w:tcW w:w="0" w:type="auto"/>
            <w:gridSpan w:val="5"/>
          </w:tcPr>
          <w:p w14:paraId="2BCC5B89" w14:textId="77777777" w:rsidR="007F58D0" w:rsidRPr="00EF7DCF" w:rsidRDefault="00C0288F">
            <w:pPr>
              <w:keepNext/>
              <w:spacing w:after="60"/>
            </w:pPr>
            <w:r w:rsidRPr="00EF7DCF">
              <w:rPr>
                <w:rFonts w:ascii="Calibri" w:hAnsi="Calibri"/>
                <w:sz w:val="20"/>
              </w:rPr>
              <w:t>log-likelihood = -3816.2867260872</w:t>
            </w:r>
          </w:p>
        </w:tc>
      </w:tr>
      <w:tr w:rsidR="00EF7DCF" w:rsidRPr="00EF7DCF" w14:paraId="2BCC5B8C" w14:textId="77777777">
        <w:trPr>
          <w:cantSplit/>
          <w:jc w:val="center"/>
        </w:trPr>
        <w:tc>
          <w:tcPr>
            <w:tcW w:w="0" w:type="auto"/>
            <w:gridSpan w:val="5"/>
          </w:tcPr>
          <w:p w14:paraId="2BCC5B8B" w14:textId="77777777" w:rsidR="007F58D0" w:rsidRPr="00EF7DCF" w:rsidRDefault="00C0288F">
            <w:pPr>
              <w:keepNext/>
              <w:spacing w:after="60"/>
            </w:pPr>
            <w:r w:rsidRPr="00EF7DCF">
              <w:rPr>
                <w:rFonts w:ascii="Calibri" w:hAnsi="Calibri"/>
                <w:sz w:val="20"/>
              </w:rPr>
              <w:t>AIC = 7636.5734521744</w:t>
            </w:r>
          </w:p>
        </w:tc>
      </w:tr>
      <w:tr w:rsidR="00EF7DCF" w:rsidRPr="00EF7DCF" w14:paraId="2BCC5B8E" w14:textId="77777777">
        <w:trPr>
          <w:cantSplit/>
          <w:jc w:val="center"/>
        </w:trPr>
        <w:tc>
          <w:tcPr>
            <w:tcW w:w="0" w:type="auto"/>
            <w:gridSpan w:val="5"/>
          </w:tcPr>
          <w:p w14:paraId="2BCC5B8D" w14:textId="77777777" w:rsidR="007F58D0" w:rsidRPr="00EF7DCF" w:rsidRDefault="00C0288F">
            <w:pPr>
              <w:keepNext/>
              <w:spacing w:after="60"/>
            </w:pPr>
            <w:r w:rsidRPr="00EF7DCF">
              <w:rPr>
                <w:rFonts w:ascii="Calibri" w:hAnsi="Calibri"/>
                <w:sz w:val="20"/>
              </w:rPr>
              <w:t>BIC = 7646.73686934661</w:t>
            </w:r>
          </w:p>
        </w:tc>
      </w:tr>
    </w:tbl>
    <w:tbl>
      <w:tblPr>
        <w:tblStyle w:val="Table"/>
        <w:tblW w:w="5000" w:type="pct"/>
        <w:tblLayout w:type="fixed"/>
        <w:tblLook w:val="0020" w:firstRow="1" w:lastRow="0" w:firstColumn="0" w:lastColumn="0" w:noHBand="0" w:noVBand="0"/>
      </w:tblPr>
      <w:tblGrid>
        <w:gridCol w:w="9360"/>
      </w:tblGrid>
      <w:tr w:rsidR="00EF7DCF" w:rsidRPr="00EF7DCF" w14:paraId="2BCC5B93"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8F" w14:textId="77777777" w:rsidR="007F58D0" w:rsidRPr="00EF7DCF" w:rsidRDefault="00C0288F">
            <w:pPr>
              <w:pStyle w:val="ImageCaption"/>
              <w:spacing w:before="200"/>
            </w:pPr>
            <w:bookmarkStart w:id="24" w:name="tbl-km-log_normal-ch1"/>
            <w:r w:rsidRPr="00EF7DCF">
              <w:t>Table 4: Survival model fit summary (log-normal distribution)</w:t>
            </w:r>
          </w:p>
          <w:bookmarkEnd w:id="24"/>
          <w:p w14:paraId="2BCC5B92" w14:textId="77777777" w:rsidR="007F58D0" w:rsidRPr="00EF7DCF" w:rsidRDefault="007F58D0"/>
        </w:tc>
      </w:tr>
    </w:tbl>
    <w:p w14:paraId="2BCC5B94" w14:textId="77777777" w:rsidR="007F58D0" w:rsidRPr="00EF7DCF" w:rsidRDefault="00C0288F">
      <w:r w:rsidRPr="00EF7DCF">
        <w:br w:type="page"/>
      </w:r>
    </w:p>
    <w:p w14:paraId="2BCC5B95" w14:textId="77777777" w:rsidR="007F58D0" w:rsidRPr="00EF7DCF" w:rsidRDefault="00C0288F">
      <w:pPr>
        <w:pStyle w:val="Heading4"/>
        <w:rPr>
          <w:color w:val="auto"/>
        </w:rPr>
      </w:pPr>
      <w:bookmarkStart w:id="25" w:name="log-logistic"/>
      <w:bookmarkEnd w:id="22"/>
      <w:r w:rsidRPr="00EF7DCF">
        <w:rPr>
          <w:color w:val="auto"/>
        </w:rPr>
        <w:lastRenderedPageBreak/>
        <w:t>Log-logistic</w:t>
      </w:r>
    </w:p>
    <w:tbl>
      <w:tblPr>
        <w:tblStyle w:val="Table"/>
        <w:tblW w:w="5000" w:type="pct"/>
        <w:tblLayout w:type="fixed"/>
        <w:tblLook w:val="0020" w:firstRow="1" w:lastRow="0" w:firstColumn="0" w:lastColumn="0" w:noHBand="0" w:noVBand="0"/>
      </w:tblPr>
      <w:tblGrid>
        <w:gridCol w:w="9360"/>
      </w:tblGrid>
      <w:tr w:rsidR="00EF7DCF" w:rsidRPr="00EF7DCF" w14:paraId="2BCC5B98"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96" w14:textId="1C2F006D" w:rsidR="007F58D0" w:rsidRPr="00EF7DCF" w:rsidRDefault="00C0288F">
            <w:pPr>
              <w:pStyle w:val="ImageCaption"/>
              <w:spacing w:before="200"/>
            </w:pPr>
            <w:bookmarkStart w:id="26" w:name="fig-km-log_logistic-ch1"/>
            <w:r w:rsidRPr="00EF7DCF">
              <w:t>Figure </w:t>
            </w:r>
            <w:r w:rsidR="004169B2" w:rsidRPr="00EF7DCF">
              <w:t>7</w:t>
            </w:r>
            <w:r w:rsidRPr="00EF7DCF">
              <w:t xml:space="preserve"> Overall survival against log-logistic survival function</w:t>
            </w:r>
          </w:p>
          <w:p w14:paraId="2BCC5B97" w14:textId="77777777" w:rsidR="007F58D0" w:rsidRPr="00EF7DCF" w:rsidRDefault="00C0288F">
            <w:pPr>
              <w:pStyle w:val="Compact"/>
              <w:jc w:val="center"/>
            </w:pPr>
            <w:r w:rsidRPr="00EF7DCF">
              <w:rPr>
                <w:noProof/>
              </w:rPr>
              <w:drawing>
                <wp:inline distT="0" distB="0" distL="0" distR="0" wp14:anchorId="2BCC5DAD" wp14:editId="2BCC5DAE">
                  <wp:extent cx="4620126" cy="3696101"/>
                  <wp:effectExtent l="0" t="0" r="0" b="0"/>
                  <wp:docPr id="63" name="Picture" title="A Kaplan-Meier plot showing overall survival over time for individuals who have received trastuzumab emtansine (including individuals who subsequently received trastuzumab deruxtecan), with an overlaid log-logistic model fit."/>
                  <wp:cNvGraphicFramePr/>
                  <a:graphic xmlns:a="http://schemas.openxmlformats.org/drawingml/2006/main">
                    <a:graphicData uri="http://schemas.openxmlformats.org/drawingml/2006/picture">
                      <pic:pic xmlns:pic="http://schemas.openxmlformats.org/drawingml/2006/picture">
                        <pic:nvPicPr>
                          <pic:cNvPr id="64" name="Picture" descr="ID5121_trast_derux_breast_cancer_monthly_ss_files/figure-docx/fig-km-log_logistic-ch1-1.png"/>
                          <pic:cNvPicPr>
                            <a:picLocks noChangeAspect="1" noChangeArrowheads="1"/>
                          </pic:cNvPicPr>
                        </pic:nvPicPr>
                        <pic:blipFill>
                          <a:blip r:embed="rId17"/>
                          <a:stretch>
                            <a:fillRect/>
                          </a:stretch>
                        </pic:blipFill>
                        <pic:spPr bwMode="auto">
                          <a:xfrm>
                            <a:off x="0" y="0"/>
                            <a:ext cx="4620126" cy="3696101"/>
                          </a:xfrm>
                          <a:prstGeom prst="rect">
                            <a:avLst/>
                          </a:prstGeom>
                          <a:noFill/>
                          <a:ln w="9525">
                            <a:noFill/>
                            <a:headEnd/>
                            <a:tailEnd/>
                          </a:ln>
                        </pic:spPr>
                      </pic:pic>
                    </a:graphicData>
                  </a:graphic>
                </wp:inline>
              </w:drawing>
            </w:r>
          </w:p>
        </w:tc>
        <w:bookmarkEnd w:id="26"/>
      </w:tr>
    </w:tbl>
    <w:p w14:paraId="2BCC5B99"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942"/>
        <w:gridCol w:w="1282"/>
      </w:tblGrid>
      <w:tr w:rsidR="00EF7DCF" w:rsidRPr="00EF7DCF" w14:paraId="2BCC5B9F" w14:textId="77777777">
        <w:trPr>
          <w:cantSplit/>
          <w:tblHeader/>
          <w:jc w:val="center"/>
        </w:trPr>
        <w:tc>
          <w:tcPr>
            <w:tcW w:w="0" w:type="auto"/>
            <w:tcBorders>
              <w:top w:val="single" w:sz="16" w:space="0" w:color="D3D3D3"/>
              <w:left w:val="single" w:sz="0" w:space="0" w:color="D3D3D3"/>
              <w:bottom w:val="single" w:sz="16" w:space="0" w:color="D3D3D3"/>
            </w:tcBorders>
          </w:tcPr>
          <w:p w14:paraId="2BCC5B9A"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B9B"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B9C"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B9D" w14:textId="77777777" w:rsidR="007F58D0" w:rsidRPr="00EF7DCF" w:rsidRDefault="00C0288F">
            <w:pPr>
              <w:keepNext/>
              <w:spacing w:after="60"/>
              <w:jc w:val="right"/>
            </w:pPr>
            <w:r w:rsidRPr="00EF7DCF">
              <w:rPr>
                <w:rFonts w:ascii="Calibri" w:hAnsi="Calibri"/>
                <w:sz w:val="20"/>
              </w:rPr>
              <w:t>z</w:t>
            </w:r>
          </w:p>
        </w:tc>
        <w:tc>
          <w:tcPr>
            <w:tcW w:w="0" w:type="auto"/>
            <w:tcBorders>
              <w:top w:val="single" w:sz="16" w:space="0" w:color="D3D3D3"/>
              <w:bottom w:val="single" w:sz="16" w:space="0" w:color="D3D3D3"/>
              <w:right w:val="single" w:sz="0" w:space="0" w:color="D3D3D3"/>
            </w:tcBorders>
          </w:tcPr>
          <w:p w14:paraId="2BCC5B9E" w14:textId="77777777" w:rsidR="007F58D0" w:rsidRPr="00EF7DCF" w:rsidRDefault="00C0288F">
            <w:pPr>
              <w:keepNext/>
              <w:spacing w:after="60"/>
              <w:jc w:val="right"/>
            </w:pPr>
            <w:r w:rsidRPr="00EF7DCF">
              <w:rPr>
                <w:rFonts w:ascii="Calibri" w:hAnsi="Calibri"/>
                <w:sz w:val="20"/>
              </w:rPr>
              <w:t>p-value</w:t>
            </w:r>
          </w:p>
        </w:tc>
      </w:tr>
      <w:tr w:rsidR="00EF7DCF" w:rsidRPr="00EF7DCF" w14:paraId="2BCC5BA5"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BA0" w14:textId="77777777" w:rsidR="007F58D0" w:rsidRPr="00EF7DCF" w:rsidRDefault="00C0288F">
            <w:pPr>
              <w:keepNext/>
              <w:spacing w:after="60"/>
            </w:pPr>
            <w:r w:rsidRPr="00EF7DCF">
              <w:rPr>
                <w:rFonts w:ascii="Calibri" w:hAnsi="Calibri"/>
                <w:sz w:val="20"/>
              </w:rPr>
              <w:t>(</w:t>
            </w:r>
            <w:r w:rsidRPr="00E860C0">
              <w:rPr>
                <w:rFonts w:ascii="Calibri" w:hAnsi="Calibri"/>
                <w:sz w:val="20"/>
              </w:rPr>
              <w:t>Intercept</w:t>
            </w:r>
            <w:r w:rsidRPr="00EF7DCF">
              <w:rPr>
                <w:rFonts w:ascii="Calibri" w:hAnsi="Calibri"/>
                <w:sz w:val="20"/>
              </w:rPr>
              <w:t>)</w:t>
            </w:r>
          </w:p>
        </w:tc>
        <w:tc>
          <w:tcPr>
            <w:tcW w:w="0" w:type="auto"/>
            <w:tcBorders>
              <w:top w:val="single" w:sz="0" w:space="0" w:color="D3D3D3"/>
              <w:left w:val="single" w:sz="0" w:space="0" w:color="D3D3D3"/>
              <w:bottom w:val="single" w:sz="0" w:space="0" w:color="D3D3D3"/>
              <w:right w:val="single" w:sz="0" w:space="0" w:color="D3D3D3"/>
            </w:tcBorders>
          </w:tcPr>
          <w:p w14:paraId="2BCC5BA1" w14:textId="77777777" w:rsidR="007F58D0" w:rsidRPr="00EF7DCF" w:rsidRDefault="00C0288F">
            <w:pPr>
              <w:keepNext/>
              <w:spacing w:after="60"/>
              <w:jc w:val="right"/>
            </w:pPr>
            <w:r w:rsidRPr="00EF7DCF">
              <w:rPr>
                <w:rFonts w:ascii="Calibri" w:hAnsi="Calibri"/>
                <w:sz w:val="20"/>
              </w:rPr>
              <w:t>3.167</w:t>
            </w:r>
          </w:p>
        </w:tc>
        <w:tc>
          <w:tcPr>
            <w:tcW w:w="0" w:type="auto"/>
            <w:tcBorders>
              <w:top w:val="single" w:sz="0" w:space="0" w:color="D3D3D3"/>
              <w:left w:val="single" w:sz="0" w:space="0" w:color="D3D3D3"/>
              <w:bottom w:val="single" w:sz="0" w:space="0" w:color="D3D3D3"/>
              <w:right w:val="single" w:sz="0" w:space="0" w:color="D3D3D3"/>
            </w:tcBorders>
          </w:tcPr>
          <w:p w14:paraId="2BCC5BA2" w14:textId="77777777" w:rsidR="007F58D0" w:rsidRPr="00EF7DCF" w:rsidRDefault="00C0288F">
            <w:pPr>
              <w:keepNext/>
              <w:spacing w:after="60"/>
              <w:jc w:val="right"/>
            </w:pPr>
            <w:r w:rsidRPr="00EF7DCF">
              <w:rPr>
                <w:rFonts w:ascii="Calibri" w:hAnsi="Calibri"/>
                <w:sz w:val="20"/>
              </w:rPr>
              <w:t>0.037</w:t>
            </w:r>
          </w:p>
        </w:tc>
        <w:tc>
          <w:tcPr>
            <w:tcW w:w="0" w:type="auto"/>
            <w:tcBorders>
              <w:top w:val="single" w:sz="0" w:space="0" w:color="D3D3D3"/>
              <w:left w:val="single" w:sz="0" w:space="0" w:color="D3D3D3"/>
              <w:bottom w:val="single" w:sz="0" w:space="0" w:color="D3D3D3"/>
              <w:right w:val="single" w:sz="0" w:space="0" w:color="D3D3D3"/>
            </w:tcBorders>
          </w:tcPr>
          <w:p w14:paraId="2BCC5BA3" w14:textId="77777777" w:rsidR="007F58D0" w:rsidRPr="00EF7DCF" w:rsidRDefault="00C0288F">
            <w:pPr>
              <w:keepNext/>
              <w:spacing w:after="60"/>
              <w:jc w:val="right"/>
            </w:pPr>
            <w:r w:rsidRPr="00EF7DCF">
              <w:rPr>
                <w:rFonts w:ascii="Calibri" w:hAnsi="Calibri"/>
                <w:sz w:val="20"/>
              </w:rPr>
              <w:t>86.12867</w:t>
            </w:r>
          </w:p>
        </w:tc>
        <w:tc>
          <w:tcPr>
            <w:tcW w:w="0" w:type="auto"/>
            <w:tcBorders>
              <w:top w:val="single" w:sz="0" w:space="0" w:color="D3D3D3"/>
              <w:left w:val="single" w:sz="0" w:space="0" w:color="D3D3D3"/>
              <w:bottom w:val="single" w:sz="0" w:space="0" w:color="D3D3D3"/>
              <w:right w:val="single" w:sz="0" w:space="0" w:color="D3D3D3"/>
            </w:tcBorders>
          </w:tcPr>
          <w:p w14:paraId="2BCC5BA4" w14:textId="77777777" w:rsidR="007F58D0" w:rsidRPr="00EF7DCF" w:rsidRDefault="00C0288F">
            <w:pPr>
              <w:keepNext/>
              <w:spacing w:after="60"/>
              <w:jc w:val="right"/>
            </w:pPr>
            <w:r w:rsidRPr="00EF7DCF">
              <w:rPr>
                <w:rFonts w:ascii="Calibri" w:hAnsi="Calibri"/>
                <w:sz w:val="20"/>
              </w:rPr>
              <w:t>0.000000e+00</w:t>
            </w:r>
          </w:p>
        </w:tc>
      </w:tr>
      <w:tr w:rsidR="00EF7DCF" w:rsidRPr="00EF7DCF" w14:paraId="2BCC5BAB"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BA6" w14:textId="77777777" w:rsidR="007F58D0" w:rsidRPr="00EF7DCF" w:rsidRDefault="00C0288F">
            <w:pPr>
              <w:keepNext/>
              <w:spacing w:after="60"/>
            </w:pPr>
            <w:r w:rsidRPr="00EF7DCF">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2BCC5BA7" w14:textId="77777777" w:rsidR="007F58D0" w:rsidRPr="00EF7DCF" w:rsidRDefault="00C0288F">
            <w:pPr>
              <w:keepNext/>
              <w:spacing w:after="60"/>
              <w:jc w:val="right"/>
            </w:pPr>
            <w:r w:rsidRPr="00EF7DCF">
              <w:rPr>
                <w:rFonts w:ascii="Calibri" w:hAnsi="Calibri"/>
                <w:sz w:val="20"/>
              </w:rPr>
              <w:t>-0.347</w:t>
            </w:r>
          </w:p>
        </w:tc>
        <w:tc>
          <w:tcPr>
            <w:tcW w:w="0" w:type="auto"/>
            <w:tcBorders>
              <w:top w:val="single" w:sz="0" w:space="0" w:color="D3D3D3"/>
              <w:left w:val="single" w:sz="0" w:space="0" w:color="D3D3D3"/>
              <w:bottom w:val="single" w:sz="0" w:space="0" w:color="D3D3D3"/>
              <w:right w:val="single" w:sz="0" w:space="0" w:color="D3D3D3"/>
            </w:tcBorders>
          </w:tcPr>
          <w:p w14:paraId="2BCC5BA8" w14:textId="77777777" w:rsidR="007F58D0" w:rsidRPr="00EF7DCF" w:rsidRDefault="00C0288F">
            <w:pPr>
              <w:keepNext/>
              <w:spacing w:after="60"/>
              <w:jc w:val="right"/>
            </w:pPr>
            <w:r w:rsidRPr="00EF7DCF">
              <w:rPr>
                <w:rFonts w:ascii="Calibri" w:hAnsi="Calibri"/>
                <w:sz w:val="20"/>
              </w:rPr>
              <w:t>0.029</w:t>
            </w:r>
          </w:p>
        </w:tc>
        <w:tc>
          <w:tcPr>
            <w:tcW w:w="0" w:type="auto"/>
            <w:tcBorders>
              <w:top w:val="single" w:sz="0" w:space="0" w:color="D3D3D3"/>
              <w:left w:val="single" w:sz="0" w:space="0" w:color="D3D3D3"/>
              <w:bottom w:val="single" w:sz="0" w:space="0" w:color="D3D3D3"/>
              <w:right w:val="single" w:sz="0" w:space="0" w:color="D3D3D3"/>
            </w:tcBorders>
          </w:tcPr>
          <w:p w14:paraId="2BCC5BA9" w14:textId="77777777" w:rsidR="007F58D0" w:rsidRPr="00EF7DCF" w:rsidRDefault="00C0288F">
            <w:pPr>
              <w:keepNext/>
              <w:spacing w:after="60"/>
              <w:jc w:val="right"/>
            </w:pPr>
            <w:r w:rsidRPr="00EF7DCF">
              <w:rPr>
                <w:rFonts w:ascii="Calibri" w:hAnsi="Calibri"/>
                <w:sz w:val="20"/>
              </w:rPr>
              <w:t>-11.86633</w:t>
            </w:r>
          </w:p>
        </w:tc>
        <w:tc>
          <w:tcPr>
            <w:tcW w:w="0" w:type="auto"/>
            <w:tcBorders>
              <w:top w:val="single" w:sz="0" w:space="0" w:color="D3D3D3"/>
              <w:left w:val="single" w:sz="0" w:space="0" w:color="D3D3D3"/>
              <w:bottom w:val="single" w:sz="0" w:space="0" w:color="D3D3D3"/>
              <w:right w:val="single" w:sz="0" w:space="0" w:color="D3D3D3"/>
            </w:tcBorders>
          </w:tcPr>
          <w:p w14:paraId="2BCC5BAA" w14:textId="77777777" w:rsidR="007F58D0" w:rsidRPr="00EF7DCF" w:rsidRDefault="00C0288F">
            <w:pPr>
              <w:keepNext/>
              <w:spacing w:after="60"/>
              <w:jc w:val="right"/>
            </w:pPr>
            <w:r w:rsidRPr="00EF7DCF">
              <w:rPr>
                <w:rFonts w:ascii="Calibri" w:hAnsi="Calibri"/>
                <w:sz w:val="20"/>
              </w:rPr>
              <w:t>1.770672e-32</w:t>
            </w:r>
          </w:p>
        </w:tc>
      </w:tr>
      <w:tr w:rsidR="00EF7DCF" w:rsidRPr="00EF7DCF" w14:paraId="2BCC5BAD" w14:textId="77777777">
        <w:trPr>
          <w:cantSplit/>
          <w:jc w:val="center"/>
        </w:trPr>
        <w:tc>
          <w:tcPr>
            <w:tcW w:w="0" w:type="auto"/>
            <w:gridSpan w:val="5"/>
          </w:tcPr>
          <w:p w14:paraId="2BCC5BAC" w14:textId="77777777" w:rsidR="007F58D0" w:rsidRPr="00EF7DCF" w:rsidRDefault="00C0288F">
            <w:pPr>
              <w:keepNext/>
              <w:spacing w:after="60"/>
            </w:pPr>
            <w:r w:rsidRPr="00EF7DCF">
              <w:rPr>
                <w:rFonts w:ascii="Calibri" w:hAnsi="Calibri"/>
                <w:sz w:val="20"/>
              </w:rPr>
              <w:t>log-likelihood = -3798.24028645435</w:t>
            </w:r>
          </w:p>
        </w:tc>
      </w:tr>
      <w:tr w:rsidR="00EF7DCF" w:rsidRPr="00EF7DCF" w14:paraId="2BCC5BAF" w14:textId="77777777">
        <w:trPr>
          <w:cantSplit/>
          <w:jc w:val="center"/>
        </w:trPr>
        <w:tc>
          <w:tcPr>
            <w:tcW w:w="0" w:type="auto"/>
            <w:gridSpan w:val="5"/>
          </w:tcPr>
          <w:p w14:paraId="2BCC5BAE" w14:textId="77777777" w:rsidR="007F58D0" w:rsidRPr="00EF7DCF" w:rsidRDefault="00C0288F">
            <w:pPr>
              <w:keepNext/>
              <w:spacing w:after="60"/>
            </w:pPr>
            <w:r w:rsidRPr="00EF7DCF">
              <w:rPr>
                <w:rFonts w:ascii="Calibri" w:hAnsi="Calibri"/>
                <w:sz w:val="20"/>
              </w:rPr>
              <w:t>AIC = 7600.4805729087</w:t>
            </w:r>
          </w:p>
        </w:tc>
      </w:tr>
      <w:tr w:rsidR="00EF7DCF" w:rsidRPr="00EF7DCF" w14:paraId="2BCC5BB1" w14:textId="77777777">
        <w:trPr>
          <w:cantSplit/>
          <w:jc w:val="center"/>
        </w:trPr>
        <w:tc>
          <w:tcPr>
            <w:tcW w:w="0" w:type="auto"/>
            <w:gridSpan w:val="5"/>
          </w:tcPr>
          <w:p w14:paraId="2BCC5BB0" w14:textId="77777777" w:rsidR="007F58D0" w:rsidRPr="00EF7DCF" w:rsidRDefault="00C0288F">
            <w:pPr>
              <w:keepNext/>
              <w:spacing w:after="60"/>
            </w:pPr>
            <w:r w:rsidRPr="00EF7DCF">
              <w:rPr>
                <w:rFonts w:ascii="Calibri" w:hAnsi="Calibri"/>
                <w:sz w:val="20"/>
              </w:rPr>
              <w:t>BIC = 7610.64399008091</w:t>
            </w:r>
          </w:p>
        </w:tc>
      </w:tr>
    </w:tbl>
    <w:tbl>
      <w:tblPr>
        <w:tblStyle w:val="Table"/>
        <w:tblW w:w="5000" w:type="pct"/>
        <w:tblLayout w:type="fixed"/>
        <w:tblLook w:val="0020" w:firstRow="1" w:lastRow="0" w:firstColumn="0" w:lastColumn="0" w:noHBand="0" w:noVBand="0"/>
      </w:tblPr>
      <w:tblGrid>
        <w:gridCol w:w="9360"/>
      </w:tblGrid>
      <w:tr w:rsidR="00EF7DCF" w:rsidRPr="00EF7DCF" w14:paraId="2BCC5BB6"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B2" w14:textId="77777777" w:rsidR="007F58D0" w:rsidRPr="00EF7DCF" w:rsidRDefault="00C0288F">
            <w:pPr>
              <w:pStyle w:val="ImageCaption"/>
              <w:spacing w:before="200"/>
            </w:pPr>
            <w:bookmarkStart w:id="27" w:name="tbl-km-log_logistic-ch1"/>
            <w:r w:rsidRPr="00EF7DCF">
              <w:t>Table 5: Survival model fit summary (log-logistic distribution)</w:t>
            </w:r>
          </w:p>
          <w:bookmarkEnd w:id="27"/>
          <w:p w14:paraId="2BCC5BB5" w14:textId="77777777" w:rsidR="007F58D0" w:rsidRPr="00EF7DCF" w:rsidRDefault="007F58D0"/>
        </w:tc>
      </w:tr>
    </w:tbl>
    <w:p w14:paraId="2BCC5BB7" w14:textId="77777777" w:rsidR="007F58D0" w:rsidRPr="00EF7DCF" w:rsidRDefault="00C0288F">
      <w:r w:rsidRPr="00EF7DCF">
        <w:br w:type="page"/>
      </w:r>
    </w:p>
    <w:p w14:paraId="2BCC5BB8" w14:textId="77777777" w:rsidR="007F58D0" w:rsidRPr="00EF7DCF" w:rsidRDefault="00C0288F">
      <w:pPr>
        <w:pStyle w:val="Heading4"/>
        <w:rPr>
          <w:color w:val="auto"/>
        </w:rPr>
      </w:pPr>
      <w:bookmarkStart w:id="28" w:name="gaussian"/>
      <w:bookmarkEnd w:id="25"/>
      <w:r w:rsidRPr="00EF7DCF">
        <w:rPr>
          <w:color w:val="auto"/>
        </w:rPr>
        <w:lastRenderedPageBreak/>
        <w:t>Gaussian</w:t>
      </w:r>
    </w:p>
    <w:tbl>
      <w:tblPr>
        <w:tblStyle w:val="Table"/>
        <w:tblW w:w="5000" w:type="pct"/>
        <w:tblLayout w:type="fixed"/>
        <w:tblLook w:val="0020" w:firstRow="1" w:lastRow="0" w:firstColumn="0" w:lastColumn="0" w:noHBand="0" w:noVBand="0"/>
      </w:tblPr>
      <w:tblGrid>
        <w:gridCol w:w="9360"/>
      </w:tblGrid>
      <w:tr w:rsidR="00EF7DCF" w:rsidRPr="00EF7DCF" w14:paraId="2BCC5BBB"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B9" w14:textId="195CFE1E" w:rsidR="007F58D0" w:rsidRPr="00EF7DCF" w:rsidRDefault="00C0288F">
            <w:pPr>
              <w:pStyle w:val="ImageCaption"/>
              <w:spacing w:before="200"/>
            </w:pPr>
            <w:bookmarkStart w:id="29" w:name="fig-km-Gaussian-ch1"/>
            <w:r w:rsidRPr="00EF7DCF">
              <w:t>Figure </w:t>
            </w:r>
            <w:r w:rsidR="004169B2" w:rsidRPr="00EF7DCF">
              <w:t>8</w:t>
            </w:r>
            <w:r w:rsidRPr="00EF7DCF">
              <w:t>: Overall survival against Gaussian survival function</w:t>
            </w:r>
          </w:p>
          <w:p w14:paraId="2BCC5BBA" w14:textId="77777777" w:rsidR="007F58D0" w:rsidRPr="00EF7DCF" w:rsidRDefault="00C0288F">
            <w:pPr>
              <w:pStyle w:val="Compact"/>
              <w:jc w:val="center"/>
            </w:pPr>
            <w:r w:rsidRPr="00EF7DCF">
              <w:rPr>
                <w:noProof/>
              </w:rPr>
              <w:drawing>
                <wp:inline distT="0" distB="0" distL="0" distR="0" wp14:anchorId="2BCC5DAF" wp14:editId="2BCC5DB0">
                  <wp:extent cx="4620126" cy="3696101"/>
                  <wp:effectExtent l="0" t="0" r="0" b="0"/>
                  <wp:docPr id="69" name="Picture" title="A Kaplan-Meier plot showing overall survival over time for individuals who have received trastuzumab emtansine (including individuals who subsequently received trastuzumab deruxtecan), with an overlaid Gaussian model fit."/>
                  <wp:cNvGraphicFramePr/>
                  <a:graphic xmlns:a="http://schemas.openxmlformats.org/drawingml/2006/main">
                    <a:graphicData uri="http://schemas.openxmlformats.org/drawingml/2006/picture">
                      <pic:pic xmlns:pic="http://schemas.openxmlformats.org/drawingml/2006/picture">
                        <pic:nvPicPr>
                          <pic:cNvPr id="70" name="Picture" descr="ID5121_trast_derux_breast_cancer_monthly_ss_files/figure-docx/fig-km-Gaussian-ch1-1.png"/>
                          <pic:cNvPicPr>
                            <a:picLocks noChangeAspect="1" noChangeArrowheads="1"/>
                          </pic:cNvPicPr>
                        </pic:nvPicPr>
                        <pic:blipFill>
                          <a:blip r:embed="rId18"/>
                          <a:stretch>
                            <a:fillRect/>
                          </a:stretch>
                        </pic:blipFill>
                        <pic:spPr bwMode="auto">
                          <a:xfrm>
                            <a:off x="0" y="0"/>
                            <a:ext cx="4620126" cy="3696101"/>
                          </a:xfrm>
                          <a:prstGeom prst="rect">
                            <a:avLst/>
                          </a:prstGeom>
                          <a:noFill/>
                          <a:ln w="9525">
                            <a:noFill/>
                            <a:headEnd/>
                            <a:tailEnd/>
                          </a:ln>
                        </pic:spPr>
                      </pic:pic>
                    </a:graphicData>
                  </a:graphic>
                </wp:inline>
              </w:drawing>
            </w:r>
          </w:p>
        </w:tc>
        <w:bookmarkEnd w:id="29"/>
      </w:tr>
    </w:tbl>
    <w:p w14:paraId="2BCC5BBC"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723"/>
      </w:tblGrid>
      <w:tr w:rsidR="00EF7DCF" w:rsidRPr="00EF7DCF" w14:paraId="2BCC5BC2" w14:textId="77777777">
        <w:trPr>
          <w:cantSplit/>
          <w:tblHeader/>
          <w:jc w:val="center"/>
        </w:trPr>
        <w:tc>
          <w:tcPr>
            <w:tcW w:w="0" w:type="auto"/>
            <w:tcBorders>
              <w:top w:val="single" w:sz="16" w:space="0" w:color="D3D3D3"/>
              <w:left w:val="single" w:sz="0" w:space="0" w:color="D3D3D3"/>
              <w:bottom w:val="single" w:sz="16" w:space="0" w:color="D3D3D3"/>
            </w:tcBorders>
          </w:tcPr>
          <w:p w14:paraId="2BCC5BBD"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BBE"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BBF"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BC0" w14:textId="77777777" w:rsidR="007F58D0" w:rsidRPr="00EF7DCF" w:rsidRDefault="00C0288F">
            <w:pPr>
              <w:keepNext/>
              <w:spacing w:after="60"/>
              <w:jc w:val="right"/>
            </w:pPr>
            <w:r w:rsidRPr="00EF7DCF">
              <w:rPr>
                <w:rFonts w:ascii="Calibri" w:hAnsi="Calibri"/>
                <w:sz w:val="20"/>
              </w:rPr>
              <w:t>z</w:t>
            </w:r>
          </w:p>
        </w:tc>
        <w:tc>
          <w:tcPr>
            <w:tcW w:w="0" w:type="auto"/>
            <w:tcBorders>
              <w:top w:val="single" w:sz="16" w:space="0" w:color="D3D3D3"/>
              <w:bottom w:val="single" w:sz="16" w:space="0" w:color="D3D3D3"/>
              <w:right w:val="single" w:sz="0" w:space="0" w:color="D3D3D3"/>
            </w:tcBorders>
          </w:tcPr>
          <w:p w14:paraId="2BCC5BC1" w14:textId="77777777" w:rsidR="007F58D0" w:rsidRPr="00EF7DCF" w:rsidRDefault="00C0288F">
            <w:pPr>
              <w:keepNext/>
              <w:spacing w:after="60"/>
              <w:jc w:val="right"/>
            </w:pPr>
            <w:r w:rsidRPr="00EF7DCF">
              <w:rPr>
                <w:rFonts w:ascii="Calibri" w:hAnsi="Calibri"/>
                <w:sz w:val="20"/>
              </w:rPr>
              <w:t>p-value</w:t>
            </w:r>
          </w:p>
        </w:tc>
      </w:tr>
      <w:tr w:rsidR="00EF7DCF" w:rsidRPr="00EF7DCF" w14:paraId="2BCC5BC8"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BC3" w14:textId="77777777" w:rsidR="007F58D0" w:rsidRPr="00EF7DCF" w:rsidRDefault="00C0288F">
            <w:pPr>
              <w:keepNext/>
              <w:spacing w:after="60"/>
            </w:pPr>
            <w:r w:rsidRPr="00EF7DCF">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2BCC5BC4" w14:textId="77777777" w:rsidR="007F58D0" w:rsidRPr="00EF7DCF" w:rsidRDefault="00C0288F">
            <w:pPr>
              <w:keepNext/>
              <w:spacing w:after="60"/>
              <w:jc w:val="right"/>
            </w:pPr>
            <w:r w:rsidRPr="00EF7DCF">
              <w:rPr>
                <w:rFonts w:ascii="Calibri" w:hAnsi="Calibri"/>
                <w:sz w:val="20"/>
              </w:rPr>
              <w:t>31.592</w:t>
            </w:r>
          </w:p>
        </w:tc>
        <w:tc>
          <w:tcPr>
            <w:tcW w:w="0" w:type="auto"/>
            <w:tcBorders>
              <w:top w:val="single" w:sz="0" w:space="0" w:color="D3D3D3"/>
              <w:left w:val="single" w:sz="0" w:space="0" w:color="D3D3D3"/>
              <w:bottom w:val="single" w:sz="0" w:space="0" w:color="D3D3D3"/>
              <w:right w:val="single" w:sz="0" w:space="0" w:color="D3D3D3"/>
            </w:tcBorders>
          </w:tcPr>
          <w:p w14:paraId="2BCC5BC5" w14:textId="77777777" w:rsidR="007F58D0" w:rsidRPr="00EF7DCF" w:rsidRDefault="00C0288F">
            <w:pPr>
              <w:keepNext/>
              <w:spacing w:after="60"/>
              <w:jc w:val="right"/>
            </w:pPr>
            <w:r w:rsidRPr="00EF7DCF">
              <w:rPr>
                <w:rFonts w:ascii="Calibri" w:hAnsi="Calibri"/>
                <w:sz w:val="20"/>
              </w:rPr>
              <w:t>0.793</w:t>
            </w:r>
          </w:p>
        </w:tc>
        <w:tc>
          <w:tcPr>
            <w:tcW w:w="0" w:type="auto"/>
            <w:tcBorders>
              <w:top w:val="single" w:sz="0" w:space="0" w:color="D3D3D3"/>
              <w:left w:val="single" w:sz="0" w:space="0" w:color="D3D3D3"/>
              <w:bottom w:val="single" w:sz="0" w:space="0" w:color="D3D3D3"/>
              <w:right w:val="single" w:sz="0" w:space="0" w:color="D3D3D3"/>
            </w:tcBorders>
          </w:tcPr>
          <w:p w14:paraId="2BCC5BC6" w14:textId="77777777" w:rsidR="007F58D0" w:rsidRPr="00EF7DCF" w:rsidRDefault="00C0288F">
            <w:pPr>
              <w:keepNext/>
              <w:spacing w:after="60"/>
              <w:jc w:val="right"/>
            </w:pPr>
            <w:r w:rsidRPr="00EF7DCF">
              <w:rPr>
                <w:rFonts w:ascii="Calibri" w:hAnsi="Calibri"/>
                <w:sz w:val="20"/>
              </w:rPr>
              <w:t>39.81738</w:t>
            </w:r>
          </w:p>
        </w:tc>
        <w:tc>
          <w:tcPr>
            <w:tcW w:w="0" w:type="auto"/>
            <w:tcBorders>
              <w:top w:val="single" w:sz="0" w:space="0" w:color="D3D3D3"/>
              <w:left w:val="single" w:sz="0" w:space="0" w:color="D3D3D3"/>
              <w:bottom w:val="single" w:sz="0" w:space="0" w:color="D3D3D3"/>
              <w:right w:val="single" w:sz="0" w:space="0" w:color="D3D3D3"/>
            </w:tcBorders>
          </w:tcPr>
          <w:p w14:paraId="2BCC5BC7" w14:textId="77777777" w:rsidR="007F58D0" w:rsidRPr="00EF7DCF" w:rsidRDefault="00C0288F">
            <w:pPr>
              <w:keepNext/>
              <w:spacing w:after="60"/>
              <w:jc w:val="right"/>
            </w:pPr>
            <w:r w:rsidRPr="00EF7DCF">
              <w:rPr>
                <w:rFonts w:ascii="Calibri" w:hAnsi="Calibri"/>
                <w:sz w:val="20"/>
              </w:rPr>
              <w:t>0</w:t>
            </w:r>
          </w:p>
        </w:tc>
      </w:tr>
      <w:tr w:rsidR="00EF7DCF" w:rsidRPr="00EF7DCF" w14:paraId="2BCC5BCE"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BC9" w14:textId="77777777" w:rsidR="007F58D0" w:rsidRPr="00EF7DCF" w:rsidRDefault="00C0288F">
            <w:pPr>
              <w:keepNext/>
              <w:spacing w:after="60"/>
            </w:pPr>
            <w:r w:rsidRPr="00EF7DCF">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2BCC5BCA" w14:textId="77777777" w:rsidR="007F58D0" w:rsidRPr="00EF7DCF" w:rsidRDefault="00C0288F">
            <w:pPr>
              <w:keepNext/>
              <w:spacing w:after="60"/>
              <w:jc w:val="right"/>
            </w:pPr>
            <w:r w:rsidRPr="00EF7DCF">
              <w:rPr>
                <w:rFonts w:ascii="Calibri" w:hAnsi="Calibri"/>
                <w:sz w:val="20"/>
              </w:rPr>
              <w:t>3.235</w:t>
            </w:r>
          </w:p>
        </w:tc>
        <w:tc>
          <w:tcPr>
            <w:tcW w:w="0" w:type="auto"/>
            <w:tcBorders>
              <w:top w:val="single" w:sz="0" w:space="0" w:color="D3D3D3"/>
              <w:left w:val="single" w:sz="0" w:space="0" w:color="D3D3D3"/>
              <w:bottom w:val="single" w:sz="0" w:space="0" w:color="D3D3D3"/>
              <w:right w:val="single" w:sz="0" w:space="0" w:color="D3D3D3"/>
            </w:tcBorders>
          </w:tcPr>
          <w:p w14:paraId="2BCC5BCB" w14:textId="77777777" w:rsidR="007F58D0" w:rsidRPr="00EF7DCF" w:rsidRDefault="00C0288F">
            <w:pPr>
              <w:keepNext/>
              <w:spacing w:after="60"/>
              <w:jc w:val="right"/>
            </w:pPr>
            <w:r w:rsidRPr="00EF7DCF">
              <w:rPr>
                <w:rFonts w:ascii="Calibri" w:hAnsi="Calibri"/>
                <w:sz w:val="20"/>
              </w:rPr>
              <w:t>0.026</w:t>
            </w:r>
          </w:p>
        </w:tc>
        <w:tc>
          <w:tcPr>
            <w:tcW w:w="0" w:type="auto"/>
            <w:tcBorders>
              <w:top w:val="single" w:sz="0" w:space="0" w:color="D3D3D3"/>
              <w:left w:val="single" w:sz="0" w:space="0" w:color="D3D3D3"/>
              <w:bottom w:val="single" w:sz="0" w:space="0" w:color="D3D3D3"/>
              <w:right w:val="single" w:sz="0" w:space="0" w:color="D3D3D3"/>
            </w:tcBorders>
          </w:tcPr>
          <w:p w14:paraId="2BCC5BCC" w14:textId="77777777" w:rsidR="007F58D0" w:rsidRPr="00EF7DCF" w:rsidRDefault="00C0288F">
            <w:pPr>
              <w:keepNext/>
              <w:spacing w:after="60"/>
              <w:jc w:val="right"/>
            </w:pPr>
            <w:r w:rsidRPr="00EF7DCF">
              <w:rPr>
                <w:rFonts w:ascii="Calibri" w:hAnsi="Calibri"/>
                <w:sz w:val="20"/>
              </w:rPr>
              <w:t>125.52865</w:t>
            </w:r>
          </w:p>
        </w:tc>
        <w:tc>
          <w:tcPr>
            <w:tcW w:w="0" w:type="auto"/>
            <w:tcBorders>
              <w:top w:val="single" w:sz="0" w:space="0" w:color="D3D3D3"/>
              <w:left w:val="single" w:sz="0" w:space="0" w:color="D3D3D3"/>
              <w:bottom w:val="single" w:sz="0" w:space="0" w:color="D3D3D3"/>
              <w:right w:val="single" w:sz="0" w:space="0" w:color="D3D3D3"/>
            </w:tcBorders>
          </w:tcPr>
          <w:p w14:paraId="2BCC5BCD" w14:textId="77777777" w:rsidR="007F58D0" w:rsidRPr="00EF7DCF" w:rsidRDefault="00C0288F">
            <w:pPr>
              <w:keepNext/>
              <w:spacing w:after="60"/>
              <w:jc w:val="right"/>
            </w:pPr>
            <w:r w:rsidRPr="00EF7DCF">
              <w:rPr>
                <w:rFonts w:ascii="Calibri" w:hAnsi="Calibri"/>
                <w:sz w:val="20"/>
              </w:rPr>
              <w:t>0</w:t>
            </w:r>
          </w:p>
        </w:tc>
      </w:tr>
      <w:tr w:rsidR="00EF7DCF" w:rsidRPr="00EF7DCF" w14:paraId="2BCC5BD0" w14:textId="77777777">
        <w:trPr>
          <w:cantSplit/>
          <w:jc w:val="center"/>
        </w:trPr>
        <w:tc>
          <w:tcPr>
            <w:tcW w:w="0" w:type="auto"/>
            <w:gridSpan w:val="5"/>
          </w:tcPr>
          <w:p w14:paraId="2BCC5BCF" w14:textId="77777777" w:rsidR="007F58D0" w:rsidRPr="00EF7DCF" w:rsidRDefault="00C0288F">
            <w:pPr>
              <w:keepNext/>
              <w:spacing w:after="60"/>
            </w:pPr>
            <w:r w:rsidRPr="00EF7DCF">
              <w:rPr>
                <w:rFonts w:ascii="Calibri" w:hAnsi="Calibri"/>
                <w:sz w:val="20"/>
              </w:rPr>
              <w:t>log-likelihood = -4152.06131207851</w:t>
            </w:r>
          </w:p>
        </w:tc>
      </w:tr>
      <w:tr w:rsidR="00EF7DCF" w:rsidRPr="00EF7DCF" w14:paraId="2BCC5BD2" w14:textId="77777777">
        <w:trPr>
          <w:cantSplit/>
          <w:jc w:val="center"/>
        </w:trPr>
        <w:tc>
          <w:tcPr>
            <w:tcW w:w="0" w:type="auto"/>
            <w:gridSpan w:val="5"/>
          </w:tcPr>
          <w:p w14:paraId="2BCC5BD1" w14:textId="77777777" w:rsidR="007F58D0" w:rsidRPr="00EF7DCF" w:rsidRDefault="00C0288F">
            <w:pPr>
              <w:keepNext/>
              <w:spacing w:after="60"/>
            </w:pPr>
            <w:r w:rsidRPr="00EF7DCF">
              <w:rPr>
                <w:rFonts w:ascii="Calibri" w:hAnsi="Calibri"/>
                <w:sz w:val="20"/>
              </w:rPr>
              <w:t>AIC = 8308.12262415702</w:t>
            </w:r>
          </w:p>
        </w:tc>
      </w:tr>
      <w:tr w:rsidR="00EF7DCF" w:rsidRPr="00EF7DCF" w14:paraId="2BCC5BD4" w14:textId="77777777">
        <w:trPr>
          <w:cantSplit/>
          <w:jc w:val="center"/>
        </w:trPr>
        <w:tc>
          <w:tcPr>
            <w:tcW w:w="0" w:type="auto"/>
            <w:gridSpan w:val="5"/>
          </w:tcPr>
          <w:p w14:paraId="2BCC5BD3" w14:textId="77777777" w:rsidR="007F58D0" w:rsidRPr="00EF7DCF" w:rsidRDefault="00C0288F">
            <w:pPr>
              <w:keepNext/>
              <w:spacing w:after="60"/>
            </w:pPr>
            <w:r w:rsidRPr="00EF7DCF">
              <w:rPr>
                <w:rFonts w:ascii="Calibri" w:hAnsi="Calibri"/>
                <w:sz w:val="20"/>
              </w:rPr>
              <w:t>BIC = 8318.28604132923</w:t>
            </w:r>
          </w:p>
        </w:tc>
      </w:tr>
    </w:tbl>
    <w:tbl>
      <w:tblPr>
        <w:tblStyle w:val="Table"/>
        <w:tblW w:w="5000" w:type="pct"/>
        <w:tblLayout w:type="fixed"/>
        <w:tblLook w:val="0020" w:firstRow="1" w:lastRow="0" w:firstColumn="0" w:lastColumn="0" w:noHBand="0" w:noVBand="0"/>
      </w:tblPr>
      <w:tblGrid>
        <w:gridCol w:w="9360"/>
      </w:tblGrid>
      <w:tr w:rsidR="00EF7DCF" w:rsidRPr="00EF7DCF" w14:paraId="2BCC5BD9"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D5" w14:textId="77777777" w:rsidR="007F58D0" w:rsidRPr="00EF7DCF" w:rsidRDefault="00C0288F">
            <w:pPr>
              <w:pStyle w:val="ImageCaption"/>
              <w:spacing w:before="200"/>
            </w:pPr>
            <w:bookmarkStart w:id="30" w:name="tbl-km-Gaussian-ch1"/>
            <w:r w:rsidRPr="00EF7DCF">
              <w:t>Table 6: Survival model fit summary (Gaussian distribution)</w:t>
            </w:r>
          </w:p>
          <w:bookmarkEnd w:id="30"/>
          <w:p w14:paraId="2BCC5BD8" w14:textId="77777777" w:rsidR="007F58D0" w:rsidRPr="00EF7DCF" w:rsidRDefault="007F58D0"/>
        </w:tc>
      </w:tr>
    </w:tbl>
    <w:p w14:paraId="2BCC5BDA" w14:textId="77777777" w:rsidR="007F58D0" w:rsidRPr="00EF7DCF" w:rsidRDefault="00C0288F">
      <w:r w:rsidRPr="00EF7DCF">
        <w:br w:type="page"/>
      </w:r>
    </w:p>
    <w:p w14:paraId="2BCC5BDB" w14:textId="77777777" w:rsidR="007F58D0" w:rsidRPr="00EF7DCF" w:rsidRDefault="00C0288F">
      <w:pPr>
        <w:pStyle w:val="Heading4"/>
        <w:rPr>
          <w:color w:val="auto"/>
        </w:rPr>
      </w:pPr>
      <w:bookmarkStart w:id="31" w:name="gamma"/>
      <w:bookmarkEnd w:id="28"/>
      <w:r w:rsidRPr="00EF7DCF">
        <w:rPr>
          <w:color w:val="auto"/>
        </w:rPr>
        <w:lastRenderedPageBreak/>
        <w:t>Gamma</w:t>
      </w:r>
    </w:p>
    <w:tbl>
      <w:tblPr>
        <w:tblStyle w:val="Table"/>
        <w:tblW w:w="5000" w:type="pct"/>
        <w:tblLayout w:type="fixed"/>
        <w:tblLook w:val="0020" w:firstRow="1" w:lastRow="0" w:firstColumn="0" w:lastColumn="0" w:noHBand="0" w:noVBand="0"/>
      </w:tblPr>
      <w:tblGrid>
        <w:gridCol w:w="9360"/>
      </w:tblGrid>
      <w:tr w:rsidR="00EF7DCF" w:rsidRPr="00EF7DCF" w14:paraId="2BCC5BDE"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DC" w14:textId="141B8C59" w:rsidR="007F58D0" w:rsidRPr="00EF7DCF" w:rsidRDefault="00C0288F">
            <w:pPr>
              <w:pStyle w:val="ImageCaption"/>
              <w:spacing w:before="200"/>
            </w:pPr>
            <w:bookmarkStart w:id="32" w:name="fig-km-gamma-ch1"/>
            <w:r w:rsidRPr="00EF7DCF">
              <w:t>Figure </w:t>
            </w:r>
            <w:r w:rsidR="004169B2" w:rsidRPr="00EF7DCF">
              <w:t>9</w:t>
            </w:r>
            <w:r w:rsidRPr="00EF7DCF">
              <w:t>: Overall survival against gamma survival function</w:t>
            </w:r>
          </w:p>
          <w:p w14:paraId="2BCC5BDD" w14:textId="77777777" w:rsidR="007F58D0" w:rsidRPr="00EF7DCF" w:rsidRDefault="00C0288F">
            <w:pPr>
              <w:pStyle w:val="Compact"/>
              <w:jc w:val="center"/>
            </w:pPr>
            <w:r w:rsidRPr="00EF7DCF">
              <w:rPr>
                <w:noProof/>
              </w:rPr>
              <w:drawing>
                <wp:inline distT="0" distB="0" distL="0" distR="0" wp14:anchorId="2BCC5DB1" wp14:editId="2BCC5DB2">
                  <wp:extent cx="4620126" cy="3696101"/>
                  <wp:effectExtent l="0" t="0" r="0" b="0"/>
                  <wp:docPr id="75" name="Picture" title="A Kaplan-Meier plot showing overall survival over time for individuals who have received trastuzumab emtansine (including individuals who subsequently received trastuzumab deruxtecan), with an overlaid gamma model fit."/>
                  <wp:cNvGraphicFramePr/>
                  <a:graphic xmlns:a="http://schemas.openxmlformats.org/drawingml/2006/main">
                    <a:graphicData uri="http://schemas.openxmlformats.org/drawingml/2006/picture">
                      <pic:pic xmlns:pic="http://schemas.openxmlformats.org/drawingml/2006/picture">
                        <pic:nvPicPr>
                          <pic:cNvPr id="76" name="Picture" descr="ID5121_trast_derux_breast_cancer_monthly_ss_files/figure-docx/fig-km-gamma-ch1-1.png"/>
                          <pic:cNvPicPr>
                            <a:picLocks noChangeAspect="1" noChangeArrowheads="1"/>
                          </pic:cNvPicPr>
                        </pic:nvPicPr>
                        <pic:blipFill>
                          <a:blip r:embed="rId19"/>
                          <a:stretch>
                            <a:fillRect/>
                          </a:stretch>
                        </pic:blipFill>
                        <pic:spPr bwMode="auto">
                          <a:xfrm>
                            <a:off x="0" y="0"/>
                            <a:ext cx="4620126" cy="3696101"/>
                          </a:xfrm>
                          <a:prstGeom prst="rect">
                            <a:avLst/>
                          </a:prstGeom>
                          <a:noFill/>
                          <a:ln w="9525">
                            <a:noFill/>
                            <a:headEnd/>
                            <a:tailEnd/>
                          </a:ln>
                        </pic:spPr>
                      </pic:pic>
                    </a:graphicData>
                  </a:graphic>
                </wp:inline>
              </w:drawing>
            </w:r>
          </w:p>
        </w:tc>
        <w:bookmarkEnd w:id="32"/>
      </w:tr>
    </w:tbl>
    <w:p w14:paraId="2BCC5BDF"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81"/>
        <w:gridCol w:w="831"/>
        <w:gridCol w:w="892"/>
        <w:gridCol w:w="982"/>
        <w:gridCol w:w="1083"/>
      </w:tblGrid>
      <w:tr w:rsidR="00EF7DCF" w:rsidRPr="00EF7DCF" w14:paraId="2BCC5BE5" w14:textId="77777777">
        <w:trPr>
          <w:cantSplit/>
          <w:tblHeader/>
          <w:jc w:val="center"/>
        </w:trPr>
        <w:tc>
          <w:tcPr>
            <w:tcW w:w="0" w:type="auto"/>
            <w:tcBorders>
              <w:top w:val="single" w:sz="16" w:space="0" w:color="D3D3D3"/>
              <w:left w:val="single" w:sz="0" w:space="0" w:color="D3D3D3"/>
              <w:bottom w:val="single" w:sz="16" w:space="0" w:color="D3D3D3"/>
            </w:tcBorders>
          </w:tcPr>
          <w:p w14:paraId="2BCC5BE0"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BE1"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BE2"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BE3" w14:textId="77777777" w:rsidR="007F58D0" w:rsidRPr="00EF7DCF" w:rsidRDefault="00C0288F">
            <w:pPr>
              <w:keepNext/>
              <w:spacing w:after="60"/>
              <w:jc w:val="right"/>
            </w:pPr>
            <w:r w:rsidRPr="00EF7DCF">
              <w:rPr>
                <w:rFonts w:ascii="Calibri" w:hAnsi="Calibri"/>
                <w:sz w:val="20"/>
              </w:rPr>
              <w:t>L95.</w:t>
            </w:r>
          </w:p>
        </w:tc>
        <w:tc>
          <w:tcPr>
            <w:tcW w:w="0" w:type="auto"/>
            <w:tcBorders>
              <w:top w:val="single" w:sz="16" w:space="0" w:color="D3D3D3"/>
              <w:bottom w:val="single" w:sz="16" w:space="0" w:color="D3D3D3"/>
              <w:right w:val="single" w:sz="0" w:space="0" w:color="D3D3D3"/>
            </w:tcBorders>
          </w:tcPr>
          <w:p w14:paraId="2BCC5BE4" w14:textId="77777777" w:rsidR="007F58D0" w:rsidRPr="00EF7DCF" w:rsidRDefault="00C0288F">
            <w:pPr>
              <w:keepNext/>
              <w:spacing w:after="60"/>
              <w:jc w:val="right"/>
            </w:pPr>
            <w:r w:rsidRPr="00EF7DCF">
              <w:rPr>
                <w:rFonts w:ascii="Calibri" w:hAnsi="Calibri"/>
                <w:sz w:val="20"/>
              </w:rPr>
              <w:t>U95.</w:t>
            </w:r>
          </w:p>
        </w:tc>
      </w:tr>
      <w:tr w:rsidR="00EF7DCF" w:rsidRPr="00EF7DCF" w14:paraId="2BCC5BEB"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BE6" w14:textId="77777777" w:rsidR="007F58D0" w:rsidRPr="00EF7DCF" w:rsidRDefault="00C0288F">
            <w:pPr>
              <w:keepNext/>
              <w:spacing w:after="60"/>
            </w:pPr>
            <w:r w:rsidRPr="00EF7DCF">
              <w:rPr>
                <w:rFonts w:ascii="Calibri" w:hAnsi="Calibri"/>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2BCC5BE7" w14:textId="77777777" w:rsidR="007F58D0" w:rsidRPr="00EF7DCF" w:rsidRDefault="00C0288F">
            <w:pPr>
              <w:keepNext/>
              <w:spacing w:after="60"/>
              <w:jc w:val="right"/>
            </w:pPr>
            <w:r w:rsidRPr="00EF7DCF">
              <w:rPr>
                <w:rFonts w:ascii="Calibri" w:hAnsi="Calibri"/>
                <w:sz w:val="20"/>
              </w:rPr>
              <w:t>1.112</w:t>
            </w:r>
          </w:p>
        </w:tc>
        <w:tc>
          <w:tcPr>
            <w:tcW w:w="0" w:type="auto"/>
            <w:tcBorders>
              <w:top w:val="single" w:sz="0" w:space="0" w:color="D3D3D3"/>
              <w:left w:val="single" w:sz="0" w:space="0" w:color="D3D3D3"/>
              <w:bottom w:val="single" w:sz="0" w:space="0" w:color="D3D3D3"/>
              <w:right w:val="single" w:sz="0" w:space="0" w:color="D3D3D3"/>
            </w:tcBorders>
          </w:tcPr>
          <w:p w14:paraId="2BCC5BE8" w14:textId="77777777" w:rsidR="007F58D0" w:rsidRPr="00EF7DCF" w:rsidRDefault="00C0288F">
            <w:pPr>
              <w:keepNext/>
              <w:spacing w:after="60"/>
              <w:jc w:val="right"/>
            </w:pPr>
            <w:r w:rsidRPr="00EF7DCF">
              <w:rPr>
                <w:rFonts w:ascii="Calibri" w:hAnsi="Calibri"/>
                <w:sz w:val="20"/>
              </w:rPr>
              <w:t>0.047</w:t>
            </w:r>
          </w:p>
        </w:tc>
        <w:tc>
          <w:tcPr>
            <w:tcW w:w="0" w:type="auto"/>
            <w:tcBorders>
              <w:top w:val="single" w:sz="0" w:space="0" w:color="D3D3D3"/>
              <w:left w:val="single" w:sz="0" w:space="0" w:color="D3D3D3"/>
              <w:bottom w:val="single" w:sz="0" w:space="0" w:color="D3D3D3"/>
              <w:right w:val="single" w:sz="0" w:space="0" w:color="D3D3D3"/>
            </w:tcBorders>
          </w:tcPr>
          <w:p w14:paraId="2BCC5BE9" w14:textId="77777777" w:rsidR="007F58D0" w:rsidRPr="00EF7DCF" w:rsidRDefault="00C0288F">
            <w:pPr>
              <w:keepNext/>
              <w:spacing w:after="60"/>
              <w:jc w:val="right"/>
            </w:pPr>
            <w:r w:rsidRPr="00EF7DCF">
              <w:rPr>
                <w:rFonts w:ascii="Calibri" w:hAnsi="Calibri"/>
                <w:sz w:val="20"/>
              </w:rPr>
              <w:t>1.0241951</w:t>
            </w:r>
          </w:p>
        </w:tc>
        <w:tc>
          <w:tcPr>
            <w:tcW w:w="0" w:type="auto"/>
            <w:tcBorders>
              <w:top w:val="single" w:sz="0" w:space="0" w:color="D3D3D3"/>
              <w:left w:val="single" w:sz="0" w:space="0" w:color="D3D3D3"/>
              <w:bottom w:val="single" w:sz="0" w:space="0" w:color="D3D3D3"/>
              <w:right w:val="single" w:sz="0" w:space="0" w:color="D3D3D3"/>
            </w:tcBorders>
          </w:tcPr>
          <w:p w14:paraId="2BCC5BEA" w14:textId="77777777" w:rsidR="007F58D0" w:rsidRPr="00EF7DCF" w:rsidRDefault="00C0288F">
            <w:pPr>
              <w:keepNext/>
              <w:spacing w:after="60"/>
              <w:jc w:val="right"/>
            </w:pPr>
            <w:r w:rsidRPr="00EF7DCF">
              <w:rPr>
                <w:rFonts w:ascii="Calibri" w:hAnsi="Calibri"/>
                <w:sz w:val="20"/>
              </w:rPr>
              <w:t>1.20804206</w:t>
            </w:r>
          </w:p>
        </w:tc>
      </w:tr>
      <w:tr w:rsidR="00EF7DCF" w:rsidRPr="00EF7DCF" w14:paraId="2BCC5BF1"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BEC" w14:textId="77777777" w:rsidR="007F58D0" w:rsidRPr="00EF7DCF" w:rsidRDefault="00C0288F">
            <w:pPr>
              <w:keepNext/>
              <w:spacing w:after="60"/>
            </w:pPr>
            <w:r w:rsidRPr="00EF7DCF">
              <w:rPr>
                <w:rFonts w:ascii="Calibri" w:hAnsi="Calibri"/>
                <w:sz w:val="20"/>
              </w:rPr>
              <w:t>rate</w:t>
            </w:r>
          </w:p>
        </w:tc>
        <w:tc>
          <w:tcPr>
            <w:tcW w:w="0" w:type="auto"/>
            <w:tcBorders>
              <w:top w:val="single" w:sz="0" w:space="0" w:color="D3D3D3"/>
              <w:left w:val="single" w:sz="0" w:space="0" w:color="D3D3D3"/>
              <w:bottom w:val="single" w:sz="0" w:space="0" w:color="D3D3D3"/>
              <w:right w:val="single" w:sz="0" w:space="0" w:color="D3D3D3"/>
            </w:tcBorders>
          </w:tcPr>
          <w:p w14:paraId="2BCC5BED" w14:textId="77777777" w:rsidR="007F58D0" w:rsidRPr="00EF7DCF" w:rsidRDefault="00C0288F">
            <w:pPr>
              <w:keepNext/>
              <w:spacing w:after="60"/>
              <w:jc w:val="right"/>
            </w:pPr>
            <w:r w:rsidRPr="00EF7DCF">
              <w:rPr>
                <w:rFonts w:ascii="Calibri" w:hAnsi="Calibri"/>
                <w:sz w:val="20"/>
              </w:rPr>
              <w:t>0.031</w:t>
            </w:r>
          </w:p>
        </w:tc>
        <w:tc>
          <w:tcPr>
            <w:tcW w:w="0" w:type="auto"/>
            <w:tcBorders>
              <w:top w:val="single" w:sz="0" w:space="0" w:color="D3D3D3"/>
              <w:left w:val="single" w:sz="0" w:space="0" w:color="D3D3D3"/>
              <w:bottom w:val="single" w:sz="0" w:space="0" w:color="D3D3D3"/>
              <w:right w:val="single" w:sz="0" w:space="0" w:color="D3D3D3"/>
            </w:tcBorders>
          </w:tcPr>
          <w:p w14:paraId="2BCC5BEE" w14:textId="77777777" w:rsidR="007F58D0" w:rsidRPr="00EF7DCF" w:rsidRDefault="00C0288F">
            <w:pPr>
              <w:keepNext/>
              <w:spacing w:after="60"/>
              <w:jc w:val="right"/>
            </w:pPr>
            <w:r w:rsidRPr="00EF7DCF">
              <w:rPr>
                <w:rFonts w:ascii="Calibri" w:hAnsi="Calibri"/>
                <w:sz w:val="20"/>
              </w:rPr>
              <w:t>0.002</w:t>
            </w:r>
          </w:p>
        </w:tc>
        <w:tc>
          <w:tcPr>
            <w:tcW w:w="0" w:type="auto"/>
            <w:tcBorders>
              <w:top w:val="single" w:sz="0" w:space="0" w:color="D3D3D3"/>
              <w:left w:val="single" w:sz="0" w:space="0" w:color="D3D3D3"/>
              <w:bottom w:val="single" w:sz="0" w:space="0" w:color="D3D3D3"/>
              <w:right w:val="single" w:sz="0" w:space="0" w:color="D3D3D3"/>
            </w:tcBorders>
          </w:tcPr>
          <w:p w14:paraId="2BCC5BEF" w14:textId="77777777" w:rsidR="007F58D0" w:rsidRPr="00EF7DCF" w:rsidRDefault="00C0288F">
            <w:pPr>
              <w:keepNext/>
              <w:spacing w:after="60"/>
              <w:jc w:val="right"/>
            </w:pPr>
            <w:r w:rsidRPr="00EF7DCF">
              <w:rPr>
                <w:rFonts w:ascii="Calibri" w:hAnsi="Calibri"/>
                <w:sz w:val="20"/>
              </w:rPr>
              <w:t>0.0272543</w:t>
            </w:r>
          </w:p>
        </w:tc>
        <w:tc>
          <w:tcPr>
            <w:tcW w:w="0" w:type="auto"/>
            <w:tcBorders>
              <w:top w:val="single" w:sz="0" w:space="0" w:color="D3D3D3"/>
              <w:left w:val="single" w:sz="0" w:space="0" w:color="D3D3D3"/>
              <w:bottom w:val="single" w:sz="0" w:space="0" w:color="D3D3D3"/>
              <w:right w:val="single" w:sz="0" w:space="0" w:color="D3D3D3"/>
            </w:tcBorders>
          </w:tcPr>
          <w:p w14:paraId="2BCC5BF0" w14:textId="77777777" w:rsidR="007F58D0" w:rsidRPr="00EF7DCF" w:rsidRDefault="00C0288F">
            <w:pPr>
              <w:keepNext/>
              <w:spacing w:after="60"/>
              <w:jc w:val="right"/>
            </w:pPr>
            <w:r w:rsidRPr="00EF7DCF">
              <w:rPr>
                <w:rFonts w:ascii="Calibri" w:hAnsi="Calibri"/>
                <w:sz w:val="20"/>
              </w:rPr>
              <w:t>0.03466053</w:t>
            </w:r>
          </w:p>
        </w:tc>
      </w:tr>
      <w:tr w:rsidR="00EF7DCF" w:rsidRPr="00EF7DCF" w14:paraId="2BCC5BF3" w14:textId="77777777">
        <w:trPr>
          <w:cantSplit/>
          <w:jc w:val="center"/>
        </w:trPr>
        <w:tc>
          <w:tcPr>
            <w:tcW w:w="0" w:type="auto"/>
            <w:gridSpan w:val="5"/>
          </w:tcPr>
          <w:p w14:paraId="2BCC5BF2" w14:textId="77777777" w:rsidR="007F58D0" w:rsidRPr="00EF7DCF" w:rsidRDefault="00C0288F">
            <w:pPr>
              <w:keepNext/>
              <w:spacing w:after="60"/>
            </w:pPr>
            <w:r w:rsidRPr="00EF7DCF">
              <w:rPr>
                <w:rFonts w:ascii="Calibri" w:hAnsi="Calibri"/>
                <w:sz w:val="20"/>
              </w:rPr>
              <w:t>log-likelihood = -3817.8204018787</w:t>
            </w:r>
          </w:p>
        </w:tc>
      </w:tr>
      <w:tr w:rsidR="00EF7DCF" w:rsidRPr="00EF7DCF" w14:paraId="2BCC5BF5" w14:textId="77777777">
        <w:trPr>
          <w:cantSplit/>
          <w:jc w:val="center"/>
        </w:trPr>
        <w:tc>
          <w:tcPr>
            <w:tcW w:w="0" w:type="auto"/>
            <w:gridSpan w:val="5"/>
          </w:tcPr>
          <w:p w14:paraId="2BCC5BF4" w14:textId="77777777" w:rsidR="007F58D0" w:rsidRPr="00EF7DCF" w:rsidRDefault="00C0288F">
            <w:pPr>
              <w:keepNext/>
              <w:spacing w:after="60"/>
            </w:pPr>
            <w:r w:rsidRPr="00EF7DCF">
              <w:rPr>
                <w:rFonts w:ascii="Calibri" w:hAnsi="Calibri"/>
                <w:sz w:val="20"/>
              </w:rPr>
              <w:t>AIC = 7639.6408037574</w:t>
            </w:r>
          </w:p>
        </w:tc>
      </w:tr>
      <w:tr w:rsidR="00EF7DCF" w:rsidRPr="00EF7DCF" w14:paraId="2BCC5BF7" w14:textId="77777777">
        <w:trPr>
          <w:cantSplit/>
          <w:jc w:val="center"/>
        </w:trPr>
        <w:tc>
          <w:tcPr>
            <w:tcW w:w="0" w:type="auto"/>
            <w:gridSpan w:val="5"/>
          </w:tcPr>
          <w:p w14:paraId="2BCC5BF6" w14:textId="77777777" w:rsidR="007F58D0" w:rsidRPr="00EF7DCF" w:rsidRDefault="00C0288F">
            <w:pPr>
              <w:keepNext/>
              <w:spacing w:after="60"/>
            </w:pPr>
            <w:r w:rsidRPr="00EF7DCF">
              <w:rPr>
                <w:rFonts w:ascii="Calibri" w:hAnsi="Calibri"/>
                <w:sz w:val="20"/>
              </w:rPr>
              <w:t>BIC = 7649.80422092961</w:t>
            </w:r>
          </w:p>
        </w:tc>
      </w:tr>
    </w:tbl>
    <w:tbl>
      <w:tblPr>
        <w:tblStyle w:val="Table"/>
        <w:tblW w:w="5000" w:type="pct"/>
        <w:tblLayout w:type="fixed"/>
        <w:tblLook w:val="0020" w:firstRow="1" w:lastRow="0" w:firstColumn="0" w:lastColumn="0" w:noHBand="0" w:noVBand="0"/>
      </w:tblPr>
      <w:tblGrid>
        <w:gridCol w:w="9360"/>
      </w:tblGrid>
      <w:tr w:rsidR="00EF7DCF" w:rsidRPr="00EF7DCF" w14:paraId="2BCC5BFC"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F8" w14:textId="77777777" w:rsidR="007F58D0" w:rsidRPr="00EF7DCF" w:rsidRDefault="00C0288F">
            <w:pPr>
              <w:pStyle w:val="ImageCaption"/>
              <w:spacing w:before="200"/>
            </w:pPr>
            <w:bookmarkStart w:id="33" w:name="tbl-km-gamma-ch1"/>
            <w:r w:rsidRPr="00EF7DCF">
              <w:t>Table 7: Survival model fit summary (gamma distribution)</w:t>
            </w:r>
          </w:p>
          <w:bookmarkEnd w:id="33"/>
          <w:p w14:paraId="2BCC5BFB" w14:textId="77777777" w:rsidR="007F58D0" w:rsidRPr="00EF7DCF" w:rsidRDefault="007F58D0"/>
        </w:tc>
      </w:tr>
    </w:tbl>
    <w:p w14:paraId="2BCC5BFD" w14:textId="77777777" w:rsidR="007F58D0" w:rsidRPr="00EF7DCF" w:rsidRDefault="00C0288F">
      <w:r w:rsidRPr="00EF7DCF">
        <w:br w:type="page"/>
      </w:r>
    </w:p>
    <w:p w14:paraId="2BCC5BFE" w14:textId="77777777" w:rsidR="007F58D0" w:rsidRPr="00EF7DCF" w:rsidRDefault="00C0288F">
      <w:pPr>
        <w:pStyle w:val="Heading4"/>
        <w:rPr>
          <w:color w:val="auto"/>
        </w:rPr>
      </w:pPr>
      <w:bookmarkStart w:id="34" w:name="generalised-gamma"/>
      <w:bookmarkEnd w:id="31"/>
      <w:proofErr w:type="spellStart"/>
      <w:r w:rsidRPr="00EF7DCF">
        <w:rPr>
          <w:color w:val="auto"/>
        </w:rPr>
        <w:lastRenderedPageBreak/>
        <w:t>Generalised</w:t>
      </w:r>
      <w:proofErr w:type="spellEnd"/>
      <w:r w:rsidRPr="00EF7DCF">
        <w:rPr>
          <w:color w:val="auto"/>
        </w:rPr>
        <w:t xml:space="preserve"> gamma</w:t>
      </w:r>
    </w:p>
    <w:tbl>
      <w:tblPr>
        <w:tblStyle w:val="Table"/>
        <w:tblW w:w="5000" w:type="pct"/>
        <w:tblLayout w:type="fixed"/>
        <w:tblLook w:val="0020" w:firstRow="1" w:lastRow="0" w:firstColumn="0" w:lastColumn="0" w:noHBand="0" w:noVBand="0"/>
      </w:tblPr>
      <w:tblGrid>
        <w:gridCol w:w="9360"/>
      </w:tblGrid>
      <w:tr w:rsidR="00EF7DCF" w:rsidRPr="00EF7DCF" w14:paraId="2BCC5C01"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BFF" w14:textId="7CB3B006" w:rsidR="007F58D0" w:rsidRPr="00EF7DCF" w:rsidRDefault="00C0288F">
            <w:pPr>
              <w:pStyle w:val="ImageCaption"/>
              <w:spacing w:before="200"/>
            </w:pPr>
            <w:bookmarkStart w:id="35" w:name="fig-km-gengamma-ch1"/>
            <w:r w:rsidRPr="00EF7DCF">
              <w:t>Figure </w:t>
            </w:r>
            <w:r w:rsidR="004169B2" w:rsidRPr="00EF7DCF">
              <w:t>10</w:t>
            </w:r>
            <w:r w:rsidRPr="00EF7DCF">
              <w:t xml:space="preserve">: Overall survival against </w:t>
            </w:r>
            <w:proofErr w:type="spellStart"/>
            <w:r w:rsidRPr="00EF7DCF">
              <w:t>generalised</w:t>
            </w:r>
            <w:proofErr w:type="spellEnd"/>
            <w:r w:rsidRPr="00EF7DCF">
              <w:t xml:space="preserve"> gamma survival function</w:t>
            </w:r>
          </w:p>
          <w:p w14:paraId="2BCC5C00" w14:textId="77777777" w:rsidR="007F58D0" w:rsidRPr="00EF7DCF" w:rsidRDefault="00C0288F">
            <w:pPr>
              <w:pStyle w:val="Compact"/>
              <w:jc w:val="center"/>
            </w:pPr>
            <w:r w:rsidRPr="00EF7DCF">
              <w:rPr>
                <w:noProof/>
              </w:rPr>
              <w:drawing>
                <wp:inline distT="0" distB="0" distL="0" distR="0" wp14:anchorId="2BCC5DB3" wp14:editId="2BCC5DB4">
                  <wp:extent cx="4620126" cy="3696101"/>
                  <wp:effectExtent l="0" t="0" r="0" b="0"/>
                  <wp:docPr id="81" name="Picture" title="A Kaplan-Meier plot showing overall survival over time for individuals who have received trastuzumab emtansine (including individuals who subsequently received trastuzumab deruxtecan), with an overlaid generalised gamma model fit."/>
                  <wp:cNvGraphicFramePr/>
                  <a:graphic xmlns:a="http://schemas.openxmlformats.org/drawingml/2006/main">
                    <a:graphicData uri="http://schemas.openxmlformats.org/drawingml/2006/picture">
                      <pic:pic xmlns:pic="http://schemas.openxmlformats.org/drawingml/2006/picture">
                        <pic:nvPicPr>
                          <pic:cNvPr id="82" name="Picture" descr="ID5121_trast_derux_breast_cancer_monthly_ss_files/figure-docx/fig-km-gengamma-ch1-1.png"/>
                          <pic:cNvPicPr>
                            <a:picLocks noChangeAspect="1" noChangeArrowheads="1"/>
                          </pic:cNvPicPr>
                        </pic:nvPicPr>
                        <pic:blipFill>
                          <a:blip r:embed="rId20"/>
                          <a:stretch>
                            <a:fillRect/>
                          </a:stretch>
                        </pic:blipFill>
                        <pic:spPr bwMode="auto">
                          <a:xfrm>
                            <a:off x="0" y="0"/>
                            <a:ext cx="4620126" cy="3696101"/>
                          </a:xfrm>
                          <a:prstGeom prst="rect">
                            <a:avLst/>
                          </a:prstGeom>
                          <a:noFill/>
                          <a:ln w="9525">
                            <a:noFill/>
                            <a:headEnd/>
                            <a:tailEnd/>
                          </a:ln>
                        </pic:spPr>
                      </pic:pic>
                    </a:graphicData>
                  </a:graphic>
                </wp:inline>
              </w:drawing>
            </w:r>
          </w:p>
        </w:tc>
        <w:bookmarkEnd w:id="35"/>
      </w:tr>
    </w:tbl>
    <w:p w14:paraId="2BCC5C02"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81"/>
        <w:gridCol w:w="831"/>
        <w:gridCol w:w="892"/>
        <w:gridCol w:w="982"/>
        <w:gridCol w:w="982"/>
      </w:tblGrid>
      <w:tr w:rsidR="00EF7DCF" w:rsidRPr="00EF7DCF" w14:paraId="2BCC5C08" w14:textId="77777777">
        <w:trPr>
          <w:cantSplit/>
          <w:tblHeader/>
          <w:jc w:val="center"/>
        </w:trPr>
        <w:tc>
          <w:tcPr>
            <w:tcW w:w="0" w:type="auto"/>
            <w:tcBorders>
              <w:top w:val="single" w:sz="16" w:space="0" w:color="D3D3D3"/>
              <w:left w:val="single" w:sz="0" w:space="0" w:color="D3D3D3"/>
              <w:bottom w:val="single" w:sz="16" w:space="0" w:color="D3D3D3"/>
            </w:tcBorders>
          </w:tcPr>
          <w:p w14:paraId="2BCC5C03"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C04"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C05"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C06" w14:textId="77777777" w:rsidR="007F58D0" w:rsidRPr="00EF7DCF" w:rsidRDefault="00C0288F">
            <w:pPr>
              <w:keepNext/>
              <w:spacing w:after="60"/>
              <w:jc w:val="right"/>
            </w:pPr>
            <w:r w:rsidRPr="00EF7DCF">
              <w:rPr>
                <w:rFonts w:ascii="Calibri" w:hAnsi="Calibri"/>
                <w:sz w:val="20"/>
              </w:rPr>
              <w:t>L95.</w:t>
            </w:r>
          </w:p>
        </w:tc>
        <w:tc>
          <w:tcPr>
            <w:tcW w:w="0" w:type="auto"/>
            <w:tcBorders>
              <w:top w:val="single" w:sz="16" w:space="0" w:color="D3D3D3"/>
              <w:bottom w:val="single" w:sz="16" w:space="0" w:color="D3D3D3"/>
              <w:right w:val="single" w:sz="0" w:space="0" w:color="D3D3D3"/>
            </w:tcBorders>
          </w:tcPr>
          <w:p w14:paraId="2BCC5C07" w14:textId="77777777" w:rsidR="007F58D0" w:rsidRPr="00EF7DCF" w:rsidRDefault="00C0288F">
            <w:pPr>
              <w:keepNext/>
              <w:spacing w:after="60"/>
              <w:jc w:val="right"/>
            </w:pPr>
            <w:r w:rsidRPr="00EF7DCF">
              <w:rPr>
                <w:rFonts w:ascii="Calibri" w:hAnsi="Calibri"/>
                <w:sz w:val="20"/>
              </w:rPr>
              <w:t>U95.</w:t>
            </w:r>
          </w:p>
        </w:tc>
      </w:tr>
      <w:tr w:rsidR="00EF7DCF" w:rsidRPr="00EF7DCF" w14:paraId="2BCC5C0E"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C09" w14:textId="77777777" w:rsidR="007F58D0" w:rsidRPr="00EF7DCF" w:rsidRDefault="00C0288F">
            <w:pPr>
              <w:keepNext/>
              <w:spacing w:after="60"/>
            </w:pPr>
            <w:r w:rsidRPr="00EF7DCF">
              <w:rPr>
                <w:rFonts w:ascii="Calibri" w:hAnsi="Calibri"/>
                <w:sz w:val="20"/>
              </w:rPr>
              <w:t>mu</w:t>
            </w:r>
          </w:p>
        </w:tc>
        <w:tc>
          <w:tcPr>
            <w:tcW w:w="0" w:type="auto"/>
            <w:tcBorders>
              <w:top w:val="single" w:sz="0" w:space="0" w:color="D3D3D3"/>
              <w:left w:val="single" w:sz="0" w:space="0" w:color="D3D3D3"/>
              <w:bottom w:val="single" w:sz="0" w:space="0" w:color="D3D3D3"/>
              <w:right w:val="single" w:sz="0" w:space="0" w:color="D3D3D3"/>
            </w:tcBorders>
          </w:tcPr>
          <w:p w14:paraId="2BCC5C0A" w14:textId="77777777" w:rsidR="007F58D0" w:rsidRPr="00EF7DCF" w:rsidRDefault="00C0288F">
            <w:pPr>
              <w:keepNext/>
              <w:spacing w:after="60"/>
              <w:jc w:val="right"/>
            </w:pPr>
            <w:r w:rsidRPr="00EF7DCF">
              <w:rPr>
                <w:rFonts w:ascii="Calibri" w:hAnsi="Calibri"/>
                <w:sz w:val="20"/>
              </w:rPr>
              <w:t>3.370</w:t>
            </w:r>
          </w:p>
        </w:tc>
        <w:tc>
          <w:tcPr>
            <w:tcW w:w="0" w:type="auto"/>
            <w:tcBorders>
              <w:top w:val="single" w:sz="0" w:space="0" w:color="D3D3D3"/>
              <w:left w:val="single" w:sz="0" w:space="0" w:color="D3D3D3"/>
              <w:bottom w:val="single" w:sz="0" w:space="0" w:color="D3D3D3"/>
              <w:right w:val="single" w:sz="0" w:space="0" w:color="D3D3D3"/>
            </w:tcBorders>
          </w:tcPr>
          <w:p w14:paraId="2BCC5C0B" w14:textId="77777777" w:rsidR="007F58D0" w:rsidRPr="00EF7DCF" w:rsidRDefault="00C0288F">
            <w:pPr>
              <w:keepNext/>
              <w:spacing w:after="60"/>
              <w:jc w:val="right"/>
            </w:pPr>
            <w:r w:rsidRPr="00EF7DCF">
              <w:rPr>
                <w:rFonts w:ascii="Calibri" w:hAnsi="Calibri"/>
                <w:sz w:val="20"/>
              </w:rPr>
              <w:t>0.055</w:t>
            </w:r>
          </w:p>
        </w:tc>
        <w:tc>
          <w:tcPr>
            <w:tcW w:w="0" w:type="auto"/>
            <w:tcBorders>
              <w:top w:val="single" w:sz="0" w:space="0" w:color="D3D3D3"/>
              <w:left w:val="single" w:sz="0" w:space="0" w:color="D3D3D3"/>
              <w:bottom w:val="single" w:sz="0" w:space="0" w:color="D3D3D3"/>
              <w:right w:val="single" w:sz="0" w:space="0" w:color="D3D3D3"/>
            </w:tcBorders>
          </w:tcPr>
          <w:p w14:paraId="2BCC5C0C" w14:textId="77777777" w:rsidR="007F58D0" w:rsidRPr="00EF7DCF" w:rsidRDefault="00C0288F">
            <w:pPr>
              <w:keepNext/>
              <w:spacing w:after="60"/>
              <w:jc w:val="right"/>
            </w:pPr>
            <w:r w:rsidRPr="00EF7DCF">
              <w:rPr>
                <w:rFonts w:ascii="Calibri" w:hAnsi="Calibri"/>
                <w:sz w:val="20"/>
              </w:rPr>
              <w:t>3.2610454</w:t>
            </w:r>
          </w:p>
        </w:tc>
        <w:tc>
          <w:tcPr>
            <w:tcW w:w="0" w:type="auto"/>
            <w:tcBorders>
              <w:top w:val="single" w:sz="0" w:space="0" w:color="D3D3D3"/>
              <w:left w:val="single" w:sz="0" w:space="0" w:color="D3D3D3"/>
              <w:bottom w:val="single" w:sz="0" w:space="0" w:color="D3D3D3"/>
              <w:right w:val="single" w:sz="0" w:space="0" w:color="D3D3D3"/>
            </w:tcBorders>
          </w:tcPr>
          <w:p w14:paraId="2BCC5C0D" w14:textId="77777777" w:rsidR="007F58D0" w:rsidRPr="00EF7DCF" w:rsidRDefault="00C0288F">
            <w:pPr>
              <w:keepNext/>
              <w:spacing w:after="60"/>
              <w:jc w:val="right"/>
            </w:pPr>
            <w:r w:rsidRPr="00EF7DCF">
              <w:rPr>
                <w:rFonts w:ascii="Calibri" w:hAnsi="Calibri"/>
                <w:sz w:val="20"/>
              </w:rPr>
              <w:t>3.4782928</w:t>
            </w:r>
          </w:p>
        </w:tc>
      </w:tr>
      <w:tr w:rsidR="00EF7DCF" w:rsidRPr="00EF7DCF" w14:paraId="2BCC5C14"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C0F" w14:textId="77777777" w:rsidR="007F58D0" w:rsidRPr="00EF7DCF" w:rsidRDefault="00C0288F">
            <w:pPr>
              <w:keepNext/>
              <w:spacing w:after="60"/>
            </w:pPr>
            <w:r w:rsidRPr="00EF7DCF">
              <w:rPr>
                <w:rFonts w:ascii="Calibri" w:hAnsi="Calibri"/>
                <w:sz w:val="20"/>
              </w:rPr>
              <w:t>sigma</w:t>
            </w:r>
          </w:p>
        </w:tc>
        <w:tc>
          <w:tcPr>
            <w:tcW w:w="0" w:type="auto"/>
            <w:tcBorders>
              <w:top w:val="single" w:sz="0" w:space="0" w:color="D3D3D3"/>
              <w:left w:val="single" w:sz="0" w:space="0" w:color="D3D3D3"/>
              <w:bottom w:val="single" w:sz="0" w:space="0" w:color="D3D3D3"/>
              <w:right w:val="single" w:sz="0" w:space="0" w:color="D3D3D3"/>
            </w:tcBorders>
          </w:tcPr>
          <w:p w14:paraId="2BCC5C10" w14:textId="77777777" w:rsidR="007F58D0" w:rsidRPr="00EF7DCF" w:rsidRDefault="00C0288F">
            <w:pPr>
              <w:keepNext/>
              <w:spacing w:after="60"/>
              <w:jc w:val="right"/>
            </w:pPr>
            <w:r w:rsidRPr="00EF7DCF">
              <w:rPr>
                <w:rFonts w:ascii="Calibri" w:hAnsi="Calibri"/>
                <w:sz w:val="20"/>
              </w:rPr>
              <w:t>1.129</w:t>
            </w:r>
          </w:p>
        </w:tc>
        <w:tc>
          <w:tcPr>
            <w:tcW w:w="0" w:type="auto"/>
            <w:tcBorders>
              <w:top w:val="single" w:sz="0" w:space="0" w:color="D3D3D3"/>
              <w:left w:val="single" w:sz="0" w:space="0" w:color="D3D3D3"/>
              <w:bottom w:val="single" w:sz="0" w:space="0" w:color="D3D3D3"/>
              <w:right w:val="single" w:sz="0" w:space="0" w:color="D3D3D3"/>
            </w:tcBorders>
          </w:tcPr>
          <w:p w14:paraId="2BCC5C11" w14:textId="77777777" w:rsidR="007F58D0" w:rsidRPr="00EF7DCF" w:rsidRDefault="00C0288F">
            <w:pPr>
              <w:keepNext/>
              <w:spacing w:after="60"/>
              <w:jc w:val="right"/>
            </w:pPr>
            <w:r w:rsidRPr="00EF7DCF">
              <w:rPr>
                <w:rFonts w:ascii="Calibri" w:hAnsi="Calibri"/>
                <w:sz w:val="20"/>
              </w:rPr>
              <w:t>0.042</w:t>
            </w:r>
          </w:p>
        </w:tc>
        <w:tc>
          <w:tcPr>
            <w:tcW w:w="0" w:type="auto"/>
            <w:tcBorders>
              <w:top w:val="single" w:sz="0" w:space="0" w:color="D3D3D3"/>
              <w:left w:val="single" w:sz="0" w:space="0" w:color="D3D3D3"/>
              <w:bottom w:val="single" w:sz="0" w:space="0" w:color="D3D3D3"/>
              <w:right w:val="single" w:sz="0" w:space="0" w:color="D3D3D3"/>
            </w:tcBorders>
          </w:tcPr>
          <w:p w14:paraId="2BCC5C12" w14:textId="77777777" w:rsidR="007F58D0" w:rsidRPr="00EF7DCF" w:rsidRDefault="00C0288F">
            <w:pPr>
              <w:keepNext/>
              <w:spacing w:after="60"/>
              <w:jc w:val="right"/>
            </w:pPr>
            <w:r w:rsidRPr="00EF7DCF">
              <w:rPr>
                <w:rFonts w:ascii="Calibri" w:hAnsi="Calibri"/>
                <w:sz w:val="20"/>
              </w:rPr>
              <w:t>1.0497282</w:t>
            </w:r>
          </w:p>
        </w:tc>
        <w:tc>
          <w:tcPr>
            <w:tcW w:w="0" w:type="auto"/>
            <w:tcBorders>
              <w:top w:val="single" w:sz="0" w:space="0" w:color="D3D3D3"/>
              <w:left w:val="single" w:sz="0" w:space="0" w:color="D3D3D3"/>
              <w:bottom w:val="single" w:sz="0" w:space="0" w:color="D3D3D3"/>
              <w:right w:val="single" w:sz="0" w:space="0" w:color="D3D3D3"/>
            </w:tcBorders>
          </w:tcPr>
          <w:p w14:paraId="2BCC5C13" w14:textId="77777777" w:rsidR="007F58D0" w:rsidRPr="00EF7DCF" w:rsidRDefault="00C0288F">
            <w:pPr>
              <w:keepNext/>
              <w:spacing w:after="60"/>
              <w:jc w:val="right"/>
            </w:pPr>
            <w:r w:rsidRPr="00EF7DCF">
              <w:rPr>
                <w:rFonts w:ascii="Calibri" w:hAnsi="Calibri"/>
                <w:sz w:val="20"/>
              </w:rPr>
              <w:t>1.2134535</w:t>
            </w:r>
          </w:p>
        </w:tc>
      </w:tr>
      <w:tr w:rsidR="00EF7DCF" w:rsidRPr="00EF7DCF" w14:paraId="2BCC5C1A"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C15" w14:textId="77777777" w:rsidR="007F58D0" w:rsidRPr="00EF7DCF" w:rsidRDefault="00C0288F">
            <w:pPr>
              <w:keepNext/>
              <w:spacing w:after="60"/>
            </w:pPr>
            <w:r w:rsidRPr="00EF7DCF">
              <w:rPr>
                <w:rFonts w:ascii="Calibri" w:hAnsi="Calibri"/>
                <w:sz w:val="20"/>
              </w:rPr>
              <w:t>Q</w:t>
            </w:r>
          </w:p>
        </w:tc>
        <w:tc>
          <w:tcPr>
            <w:tcW w:w="0" w:type="auto"/>
            <w:tcBorders>
              <w:top w:val="single" w:sz="0" w:space="0" w:color="D3D3D3"/>
              <w:left w:val="single" w:sz="0" w:space="0" w:color="D3D3D3"/>
              <w:bottom w:val="single" w:sz="0" w:space="0" w:color="D3D3D3"/>
              <w:right w:val="single" w:sz="0" w:space="0" w:color="D3D3D3"/>
            </w:tcBorders>
          </w:tcPr>
          <w:p w14:paraId="2BCC5C16" w14:textId="77777777" w:rsidR="007F58D0" w:rsidRPr="00EF7DCF" w:rsidRDefault="00C0288F">
            <w:pPr>
              <w:keepNext/>
              <w:spacing w:after="60"/>
              <w:jc w:val="right"/>
            </w:pPr>
            <w:r w:rsidRPr="00EF7DCF">
              <w:rPr>
                <w:rFonts w:ascii="Calibri" w:hAnsi="Calibri"/>
                <w:sz w:val="20"/>
              </w:rPr>
              <w:t>0.442</w:t>
            </w:r>
          </w:p>
        </w:tc>
        <w:tc>
          <w:tcPr>
            <w:tcW w:w="0" w:type="auto"/>
            <w:tcBorders>
              <w:top w:val="single" w:sz="0" w:space="0" w:color="D3D3D3"/>
              <w:left w:val="single" w:sz="0" w:space="0" w:color="D3D3D3"/>
              <w:bottom w:val="single" w:sz="0" w:space="0" w:color="D3D3D3"/>
              <w:right w:val="single" w:sz="0" w:space="0" w:color="D3D3D3"/>
            </w:tcBorders>
          </w:tcPr>
          <w:p w14:paraId="2BCC5C17" w14:textId="77777777" w:rsidR="007F58D0" w:rsidRPr="00EF7DCF" w:rsidRDefault="00C0288F">
            <w:pPr>
              <w:keepNext/>
              <w:spacing w:after="60"/>
              <w:jc w:val="right"/>
            </w:pPr>
            <w:r w:rsidRPr="00EF7DCF">
              <w:rPr>
                <w:rFonts w:ascii="Calibri" w:hAnsi="Calibri"/>
                <w:sz w:val="20"/>
              </w:rPr>
              <w:t>0.092</w:t>
            </w:r>
          </w:p>
        </w:tc>
        <w:tc>
          <w:tcPr>
            <w:tcW w:w="0" w:type="auto"/>
            <w:tcBorders>
              <w:top w:val="single" w:sz="0" w:space="0" w:color="D3D3D3"/>
              <w:left w:val="single" w:sz="0" w:space="0" w:color="D3D3D3"/>
              <w:bottom w:val="single" w:sz="0" w:space="0" w:color="D3D3D3"/>
              <w:right w:val="single" w:sz="0" w:space="0" w:color="D3D3D3"/>
            </w:tcBorders>
          </w:tcPr>
          <w:p w14:paraId="2BCC5C18" w14:textId="77777777" w:rsidR="007F58D0" w:rsidRPr="00EF7DCF" w:rsidRDefault="00C0288F">
            <w:pPr>
              <w:keepNext/>
              <w:spacing w:after="60"/>
              <w:jc w:val="right"/>
            </w:pPr>
            <w:r w:rsidRPr="00EF7DCF">
              <w:rPr>
                <w:rFonts w:ascii="Calibri" w:hAnsi="Calibri"/>
                <w:sz w:val="20"/>
              </w:rPr>
              <w:t>0.2615582</w:t>
            </w:r>
          </w:p>
        </w:tc>
        <w:tc>
          <w:tcPr>
            <w:tcW w:w="0" w:type="auto"/>
            <w:tcBorders>
              <w:top w:val="single" w:sz="0" w:space="0" w:color="D3D3D3"/>
              <w:left w:val="single" w:sz="0" w:space="0" w:color="D3D3D3"/>
              <w:bottom w:val="single" w:sz="0" w:space="0" w:color="D3D3D3"/>
              <w:right w:val="single" w:sz="0" w:space="0" w:color="D3D3D3"/>
            </w:tcBorders>
          </w:tcPr>
          <w:p w14:paraId="2BCC5C19" w14:textId="77777777" w:rsidR="007F58D0" w:rsidRPr="00EF7DCF" w:rsidRDefault="00C0288F">
            <w:pPr>
              <w:keepNext/>
              <w:spacing w:after="60"/>
              <w:jc w:val="right"/>
            </w:pPr>
            <w:r w:rsidRPr="00EF7DCF">
              <w:rPr>
                <w:rFonts w:ascii="Calibri" w:hAnsi="Calibri"/>
                <w:sz w:val="20"/>
              </w:rPr>
              <w:t>0.6227409</w:t>
            </w:r>
          </w:p>
        </w:tc>
      </w:tr>
      <w:tr w:rsidR="00EF7DCF" w:rsidRPr="00EF7DCF" w14:paraId="2BCC5C1C" w14:textId="77777777">
        <w:trPr>
          <w:cantSplit/>
          <w:jc w:val="center"/>
        </w:trPr>
        <w:tc>
          <w:tcPr>
            <w:tcW w:w="0" w:type="auto"/>
            <w:gridSpan w:val="5"/>
          </w:tcPr>
          <w:p w14:paraId="2BCC5C1B" w14:textId="77777777" w:rsidR="007F58D0" w:rsidRPr="00EF7DCF" w:rsidRDefault="00C0288F">
            <w:pPr>
              <w:keepNext/>
              <w:spacing w:after="60"/>
            </w:pPr>
            <w:r w:rsidRPr="00EF7DCF">
              <w:rPr>
                <w:rFonts w:ascii="Calibri" w:hAnsi="Calibri"/>
                <w:sz w:val="20"/>
              </w:rPr>
              <w:t>log-likelihood = -3804.10583388303</w:t>
            </w:r>
          </w:p>
        </w:tc>
      </w:tr>
      <w:tr w:rsidR="00EF7DCF" w:rsidRPr="00EF7DCF" w14:paraId="2BCC5C1E" w14:textId="77777777">
        <w:trPr>
          <w:cantSplit/>
          <w:jc w:val="center"/>
        </w:trPr>
        <w:tc>
          <w:tcPr>
            <w:tcW w:w="0" w:type="auto"/>
            <w:gridSpan w:val="5"/>
          </w:tcPr>
          <w:p w14:paraId="2BCC5C1D" w14:textId="77777777" w:rsidR="007F58D0" w:rsidRPr="00EF7DCF" w:rsidRDefault="00C0288F">
            <w:pPr>
              <w:keepNext/>
              <w:spacing w:after="60"/>
            </w:pPr>
            <w:r w:rsidRPr="00EF7DCF">
              <w:rPr>
                <w:rFonts w:ascii="Calibri" w:hAnsi="Calibri"/>
                <w:sz w:val="20"/>
              </w:rPr>
              <w:t>AIC = 7614.21166776606</w:t>
            </w:r>
          </w:p>
        </w:tc>
      </w:tr>
      <w:tr w:rsidR="00EF7DCF" w:rsidRPr="00EF7DCF" w14:paraId="2BCC5C20" w14:textId="77777777">
        <w:trPr>
          <w:cantSplit/>
          <w:jc w:val="center"/>
        </w:trPr>
        <w:tc>
          <w:tcPr>
            <w:tcW w:w="0" w:type="auto"/>
            <w:gridSpan w:val="5"/>
          </w:tcPr>
          <w:p w14:paraId="2BCC5C1F" w14:textId="77777777" w:rsidR="007F58D0" w:rsidRPr="00EF7DCF" w:rsidRDefault="00C0288F">
            <w:pPr>
              <w:keepNext/>
              <w:spacing w:after="60"/>
            </w:pPr>
            <w:r w:rsidRPr="00EF7DCF">
              <w:rPr>
                <w:rFonts w:ascii="Calibri" w:hAnsi="Calibri"/>
                <w:sz w:val="20"/>
              </w:rPr>
              <w:t>BIC = 7629.45679352438</w:t>
            </w:r>
          </w:p>
        </w:tc>
      </w:tr>
    </w:tbl>
    <w:tbl>
      <w:tblPr>
        <w:tblStyle w:val="Table"/>
        <w:tblW w:w="5000" w:type="pct"/>
        <w:tblLayout w:type="fixed"/>
        <w:tblLook w:val="0020" w:firstRow="1" w:lastRow="0" w:firstColumn="0" w:lastColumn="0" w:noHBand="0" w:noVBand="0"/>
      </w:tblPr>
      <w:tblGrid>
        <w:gridCol w:w="9360"/>
      </w:tblGrid>
      <w:tr w:rsidR="00EF7DCF" w:rsidRPr="00EF7DCF" w14:paraId="2BCC5C25"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C21" w14:textId="77777777" w:rsidR="007F58D0" w:rsidRPr="00EF7DCF" w:rsidRDefault="00C0288F">
            <w:pPr>
              <w:pStyle w:val="ImageCaption"/>
              <w:spacing w:before="200"/>
            </w:pPr>
            <w:bookmarkStart w:id="36" w:name="tbl-km-gengamma-ch1"/>
            <w:r w:rsidRPr="00EF7DCF">
              <w:t>Table 8: Survival model fit summary (</w:t>
            </w:r>
            <w:proofErr w:type="spellStart"/>
            <w:r w:rsidRPr="00EF7DCF">
              <w:t>generalised</w:t>
            </w:r>
            <w:proofErr w:type="spellEnd"/>
            <w:r w:rsidRPr="00EF7DCF">
              <w:t xml:space="preserve"> gamma distribution)</w:t>
            </w:r>
          </w:p>
          <w:bookmarkEnd w:id="36"/>
          <w:p w14:paraId="2BCC5C24" w14:textId="77777777" w:rsidR="007F58D0" w:rsidRPr="00EF7DCF" w:rsidRDefault="007F58D0"/>
        </w:tc>
      </w:tr>
    </w:tbl>
    <w:p w14:paraId="2BCC5C26" w14:textId="77777777" w:rsidR="007F58D0" w:rsidRPr="00EF7DCF" w:rsidRDefault="00C0288F">
      <w:r w:rsidRPr="00EF7DCF">
        <w:br w:type="page"/>
      </w:r>
    </w:p>
    <w:p w14:paraId="2BCC5C27" w14:textId="77777777" w:rsidR="007F58D0" w:rsidRPr="00EF7DCF" w:rsidRDefault="00C0288F">
      <w:pPr>
        <w:pStyle w:val="Heading4"/>
        <w:rPr>
          <w:color w:val="auto"/>
        </w:rPr>
      </w:pPr>
      <w:bookmarkStart w:id="37" w:name="gompertz"/>
      <w:bookmarkEnd w:id="34"/>
      <w:r w:rsidRPr="00EF7DCF">
        <w:rPr>
          <w:color w:val="auto"/>
        </w:rPr>
        <w:lastRenderedPageBreak/>
        <w:t>Gompertz</w:t>
      </w:r>
    </w:p>
    <w:tbl>
      <w:tblPr>
        <w:tblStyle w:val="Table"/>
        <w:tblW w:w="5000" w:type="pct"/>
        <w:tblLayout w:type="fixed"/>
        <w:tblLook w:val="0020" w:firstRow="1" w:lastRow="0" w:firstColumn="0" w:lastColumn="0" w:noHBand="0" w:noVBand="0"/>
      </w:tblPr>
      <w:tblGrid>
        <w:gridCol w:w="9360"/>
      </w:tblGrid>
      <w:tr w:rsidR="00EF7DCF" w:rsidRPr="00EF7DCF" w14:paraId="2BCC5C2A"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C28" w14:textId="61C719F8" w:rsidR="007F58D0" w:rsidRPr="00EF7DCF" w:rsidRDefault="00C0288F">
            <w:pPr>
              <w:pStyle w:val="ImageCaption"/>
              <w:spacing w:before="200"/>
            </w:pPr>
            <w:bookmarkStart w:id="38" w:name="fig-km-gompertz-ch1"/>
            <w:r w:rsidRPr="00EF7DCF">
              <w:t>Figure 1</w:t>
            </w:r>
            <w:r w:rsidR="004169B2" w:rsidRPr="00EF7DCF">
              <w:t>1</w:t>
            </w:r>
            <w:r w:rsidRPr="00EF7DCF">
              <w:t>: Overall survival against Gompertz survival function</w:t>
            </w:r>
          </w:p>
          <w:p w14:paraId="2BCC5C29" w14:textId="77777777" w:rsidR="007F58D0" w:rsidRPr="00EF7DCF" w:rsidRDefault="00C0288F">
            <w:pPr>
              <w:pStyle w:val="Compact"/>
              <w:jc w:val="center"/>
            </w:pPr>
            <w:r w:rsidRPr="00EF7DCF">
              <w:rPr>
                <w:noProof/>
              </w:rPr>
              <w:drawing>
                <wp:inline distT="0" distB="0" distL="0" distR="0" wp14:anchorId="2BCC5DB5" wp14:editId="2BCC5DB6">
                  <wp:extent cx="4620126" cy="3696101"/>
                  <wp:effectExtent l="0" t="0" r="0" b="0"/>
                  <wp:docPr id="87" name="Picture" title="A Kaplan-Meier plot showing overall survival over time for individuals who have received trastuzumab emtansine (including individuals who subsequently received trastuzumab deruxtecan), with an overlaid Gompertz model fit."/>
                  <wp:cNvGraphicFramePr/>
                  <a:graphic xmlns:a="http://schemas.openxmlformats.org/drawingml/2006/main">
                    <a:graphicData uri="http://schemas.openxmlformats.org/drawingml/2006/picture">
                      <pic:pic xmlns:pic="http://schemas.openxmlformats.org/drawingml/2006/picture">
                        <pic:nvPicPr>
                          <pic:cNvPr id="88" name="Picture" descr="ID5121_trast_derux_breast_cancer_monthly_ss_files/figure-docx/fig-km-gompertz-ch1-1.png"/>
                          <pic:cNvPicPr>
                            <a:picLocks noChangeAspect="1" noChangeArrowheads="1"/>
                          </pic:cNvPicPr>
                        </pic:nvPicPr>
                        <pic:blipFill>
                          <a:blip r:embed="rId21"/>
                          <a:stretch>
                            <a:fillRect/>
                          </a:stretch>
                        </pic:blipFill>
                        <pic:spPr bwMode="auto">
                          <a:xfrm>
                            <a:off x="0" y="0"/>
                            <a:ext cx="4620126" cy="3696101"/>
                          </a:xfrm>
                          <a:prstGeom prst="rect">
                            <a:avLst/>
                          </a:prstGeom>
                          <a:noFill/>
                          <a:ln w="9525">
                            <a:noFill/>
                            <a:headEnd/>
                            <a:tailEnd/>
                          </a:ln>
                        </pic:spPr>
                      </pic:pic>
                    </a:graphicData>
                  </a:graphic>
                </wp:inline>
              </w:drawing>
            </w:r>
          </w:p>
        </w:tc>
        <w:bookmarkEnd w:id="38"/>
      </w:tr>
    </w:tbl>
    <w:p w14:paraId="2BCC5C2B"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81"/>
        <w:gridCol w:w="831"/>
        <w:gridCol w:w="892"/>
        <w:gridCol w:w="1246"/>
        <w:gridCol w:w="1347"/>
      </w:tblGrid>
      <w:tr w:rsidR="00EF7DCF" w:rsidRPr="00EF7DCF" w14:paraId="2BCC5C31" w14:textId="77777777">
        <w:trPr>
          <w:cantSplit/>
          <w:tblHeader/>
          <w:jc w:val="center"/>
        </w:trPr>
        <w:tc>
          <w:tcPr>
            <w:tcW w:w="0" w:type="auto"/>
            <w:tcBorders>
              <w:top w:val="single" w:sz="16" w:space="0" w:color="D3D3D3"/>
              <w:left w:val="single" w:sz="0" w:space="0" w:color="D3D3D3"/>
              <w:bottom w:val="single" w:sz="16" w:space="0" w:color="D3D3D3"/>
            </w:tcBorders>
          </w:tcPr>
          <w:p w14:paraId="2BCC5C2C"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C2D"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C2E"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C2F" w14:textId="77777777" w:rsidR="007F58D0" w:rsidRPr="00EF7DCF" w:rsidRDefault="00C0288F">
            <w:pPr>
              <w:keepNext/>
              <w:spacing w:after="60"/>
              <w:jc w:val="right"/>
            </w:pPr>
            <w:r w:rsidRPr="00EF7DCF">
              <w:rPr>
                <w:rFonts w:ascii="Calibri" w:hAnsi="Calibri"/>
                <w:sz w:val="20"/>
              </w:rPr>
              <w:t>L95.</w:t>
            </w:r>
          </w:p>
        </w:tc>
        <w:tc>
          <w:tcPr>
            <w:tcW w:w="0" w:type="auto"/>
            <w:tcBorders>
              <w:top w:val="single" w:sz="16" w:space="0" w:color="D3D3D3"/>
              <w:bottom w:val="single" w:sz="16" w:space="0" w:color="D3D3D3"/>
              <w:right w:val="single" w:sz="0" w:space="0" w:color="D3D3D3"/>
            </w:tcBorders>
          </w:tcPr>
          <w:p w14:paraId="2BCC5C30" w14:textId="77777777" w:rsidR="007F58D0" w:rsidRPr="00EF7DCF" w:rsidRDefault="00C0288F">
            <w:pPr>
              <w:keepNext/>
              <w:spacing w:after="60"/>
              <w:jc w:val="right"/>
            </w:pPr>
            <w:r w:rsidRPr="00EF7DCF">
              <w:rPr>
                <w:rFonts w:ascii="Calibri" w:hAnsi="Calibri"/>
                <w:sz w:val="20"/>
              </w:rPr>
              <w:t>U95.</w:t>
            </w:r>
          </w:p>
        </w:tc>
      </w:tr>
      <w:tr w:rsidR="00EF7DCF" w:rsidRPr="00EF7DCF" w14:paraId="2BCC5C37"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C32" w14:textId="77777777" w:rsidR="007F58D0" w:rsidRPr="00EF7DCF" w:rsidRDefault="00C0288F">
            <w:pPr>
              <w:keepNext/>
              <w:spacing w:after="60"/>
            </w:pPr>
            <w:r w:rsidRPr="00EF7DCF">
              <w:rPr>
                <w:rFonts w:ascii="Calibri" w:hAnsi="Calibri"/>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2BCC5C33" w14:textId="77777777" w:rsidR="007F58D0" w:rsidRPr="00EF7DCF" w:rsidRDefault="00C0288F">
            <w:pPr>
              <w:keepNext/>
              <w:spacing w:after="60"/>
              <w:jc w:val="right"/>
            </w:pPr>
            <w:r w:rsidRPr="00EF7DCF">
              <w:rPr>
                <w:rFonts w:ascii="Calibri" w:hAnsi="Calibri"/>
                <w:sz w:val="20"/>
              </w:rPr>
              <w:t>-0.005</w:t>
            </w:r>
          </w:p>
        </w:tc>
        <w:tc>
          <w:tcPr>
            <w:tcW w:w="0" w:type="auto"/>
            <w:tcBorders>
              <w:top w:val="single" w:sz="0" w:space="0" w:color="D3D3D3"/>
              <w:left w:val="single" w:sz="0" w:space="0" w:color="D3D3D3"/>
              <w:bottom w:val="single" w:sz="0" w:space="0" w:color="D3D3D3"/>
              <w:right w:val="single" w:sz="0" w:space="0" w:color="D3D3D3"/>
            </w:tcBorders>
          </w:tcPr>
          <w:p w14:paraId="2BCC5C34" w14:textId="77777777" w:rsidR="007F58D0" w:rsidRPr="00EF7DCF" w:rsidRDefault="00C0288F">
            <w:pPr>
              <w:keepNext/>
              <w:spacing w:after="60"/>
              <w:jc w:val="right"/>
            </w:pPr>
            <w:r w:rsidRPr="00EF7DCF">
              <w:rPr>
                <w:rFonts w:ascii="Calibri" w:hAnsi="Calibri"/>
                <w:sz w:val="20"/>
              </w:rPr>
              <w:t>0.002</w:t>
            </w:r>
          </w:p>
        </w:tc>
        <w:tc>
          <w:tcPr>
            <w:tcW w:w="0" w:type="auto"/>
            <w:tcBorders>
              <w:top w:val="single" w:sz="0" w:space="0" w:color="D3D3D3"/>
              <w:left w:val="single" w:sz="0" w:space="0" w:color="D3D3D3"/>
              <w:bottom w:val="single" w:sz="0" w:space="0" w:color="D3D3D3"/>
              <w:right w:val="single" w:sz="0" w:space="0" w:color="D3D3D3"/>
            </w:tcBorders>
          </w:tcPr>
          <w:p w14:paraId="2BCC5C35" w14:textId="77777777" w:rsidR="007F58D0" w:rsidRPr="00EF7DCF" w:rsidRDefault="00C0288F">
            <w:pPr>
              <w:keepNext/>
              <w:spacing w:after="60"/>
              <w:jc w:val="right"/>
            </w:pPr>
            <w:r w:rsidRPr="00EF7DCF">
              <w:rPr>
                <w:rFonts w:ascii="Calibri" w:hAnsi="Calibri"/>
                <w:sz w:val="20"/>
              </w:rPr>
              <w:t>-0.008770824</w:t>
            </w:r>
          </w:p>
        </w:tc>
        <w:tc>
          <w:tcPr>
            <w:tcW w:w="0" w:type="auto"/>
            <w:tcBorders>
              <w:top w:val="single" w:sz="0" w:space="0" w:color="D3D3D3"/>
              <w:left w:val="single" w:sz="0" w:space="0" w:color="D3D3D3"/>
              <w:bottom w:val="single" w:sz="0" w:space="0" w:color="D3D3D3"/>
              <w:right w:val="single" w:sz="0" w:space="0" w:color="D3D3D3"/>
            </w:tcBorders>
          </w:tcPr>
          <w:p w14:paraId="2BCC5C36" w14:textId="77777777" w:rsidR="007F58D0" w:rsidRPr="00EF7DCF" w:rsidRDefault="00C0288F">
            <w:pPr>
              <w:keepNext/>
              <w:spacing w:after="60"/>
              <w:jc w:val="right"/>
            </w:pPr>
            <w:r w:rsidRPr="00EF7DCF">
              <w:rPr>
                <w:rFonts w:ascii="Calibri" w:hAnsi="Calibri"/>
                <w:sz w:val="20"/>
              </w:rPr>
              <w:t>-0.0007233014</w:t>
            </w:r>
          </w:p>
        </w:tc>
      </w:tr>
      <w:tr w:rsidR="00EF7DCF" w:rsidRPr="00EF7DCF" w14:paraId="2BCC5C3D"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C38" w14:textId="77777777" w:rsidR="007F58D0" w:rsidRPr="00EF7DCF" w:rsidRDefault="00C0288F">
            <w:pPr>
              <w:keepNext/>
              <w:spacing w:after="60"/>
            </w:pPr>
            <w:r w:rsidRPr="00EF7DCF">
              <w:rPr>
                <w:rFonts w:ascii="Calibri" w:hAnsi="Calibri"/>
                <w:sz w:val="20"/>
              </w:rPr>
              <w:t>rate</w:t>
            </w:r>
          </w:p>
        </w:tc>
        <w:tc>
          <w:tcPr>
            <w:tcW w:w="0" w:type="auto"/>
            <w:tcBorders>
              <w:top w:val="single" w:sz="0" w:space="0" w:color="D3D3D3"/>
              <w:left w:val="single" w:sz="0" w:space="0" w:color="D3D3D3"/>
              <w:bottom w:val="single" w:sz="0" w:space="0" w:color="D3D3D3"/>
              <w:right w:val="single" w:sz="0" w:space="0" w:color="D3D3D3"/>
            </w:tcBorders>
          </w:tcPr>
          <w:p w14:paraId="2BCC5C39" w14:textId="77777777" w:rsidR="007F58D0" w:rsidRPr="00EF7DCF" w:rsidRDefault="00C0288F">
            <w:pPr>
              <w:keepNext/>
              <w:spacing w:after="60"/>
              <w:jc w:val="right"/>
            </w:pPr>
            <w:r w:rsidRPr="00EF7DCF">
              <w:rPr>
                <w:rFonts w:ascii="Calibri" w:hAnsi="Calibri"/>
                <w:sz w:val="20"/>
              </w:rPr>
              <w:t>0.030</w:t>
            </w:r>
          </w:p>
        </w:tc>
        <w:tc>
          <w:tcPr>
            <w:tcW w:w="0" w:type="auto"/>
            <w:tcBorders>
              <w:top w:val="single" w:sz="0" w:space="0" w:color="D3D3D3"/>
              <w:left w:val="single" w:sz="0" w:space="0" w:color="D3D3D3"/>
              <w:bottom w:val="single" w:sz="0" w:space="0" w:color="D3D3D3"/>
              <w:right w:val="single" w:sz="0" w:space="0" w:color="D3D3D3"/>
            </w:tcBorders>
          </w:tcPr>
          <w:p w14:paraId="2BCC5C3A" w14:textId="77777777" w:rsidR="007F58D0" w:rsidRPr="00EF7DCF" w:rsidRDefault="00C0288F">
            <w:pPr>
              <w:keepNext/>
              <w:spacing w:after="60"/>
              <w:jc w:val="right"/>
            </w:pPr>
            <w:r w:rsidRPr="00EF7DCF">
              <w:rPr>
                <w:rFonts w:ascii="Calibri" w:hAnsi="Calibri"/>
                <w:sz w:val="20"/>
              </w:rPr>
              <w:t>0.002</w:t>
            </w:r>
          </w:p>
        </w:tc>
        <w:tc>
          <w:tcPr>
            <w:tcW w:w="0" w:type="auto"/>
            <w:tcBorders>
              <w:top w:val="single" w:sz="0" w:space="0" w:color="D3D3D3"/>
              <w:left w:val="single" w:sz="0" w:space="0" w:color="D3D3D3"/>
              <w:bottom w:val="single" w:sz="0" w:space="0" w:color="D3D3D3"/>
              <w:right w:val="single" w:sz="0" w:space="0" w:color="D3D3D3"/>
            </w:tcBorders>
          </w:tcPr>
          <w:p w14:paraId="2BCC5C3B" w14:textId="77777777" w:rsidR="007F58D0" w:rsidRPr="00EF7DCF" w:rsidRDefault="00C0288F">
            <w:pPr>
              <w:keepNext/>
              <w:spacing w:after="60"/>
              <w:jc w:val="right"/>
            </w:pPr>
            <w:r w:rsidRPr="00EF7DCF">
              <w:rPr>
                <w:rFonts w:ascii="Calibri" w:hAnsi="Calibri"/>
                <w:sz w:val="20"/>
              </w:rPr>
              <w:t>0.026702864</w:t>
            </w:r>
          </w:p>
        </w:tc>
        <w:tc>
          <w:tcPr>
            <w:tcW w:w="0" w:type="auto"/>
            <w:tcBorders>
              <w:top w:val="single" w:sz="0" w:space="0" w:color="D3D3D3"/>
              <w:left w:val="single" w:sz="0" w:space="0" w:color="D3D3D3"/>
              <w:bottom w:val="single" w:sz="0" w:space="0" w:color="D3D3D3"/>
              <w:right w:val="single" w:sz="0" w:space="0" w:color="D3D3D3"/>
            </w:tcBorders>
          </w:tcPr>
          <w:p w14:paraId="2BCC5C3C" w14:textId="77777777" w:rsidR="007F58D0" w:rsidRPr="00EF7DCF" w:rsidRDefault="00C0288F">
            <w:pPr>
              <w:keepNext/>
              <w:spacing w:after="60"/>
              <w:jc w:val="right"/>
            </w:pPr>
            <w:r w:rsidRPr="00EF7DCF">
              <w:rPr>
                <w:rFonts w:ascii="Calibri" w:hAnsi="Calibri"/>
                <w:sz w:val="20"/>
              </w:rPr>
              <w:t>0.0328389592</w:t>
            </w:r>
          </w:p>
        </w:tc>
      </w:tr>
      <w:tr w:rsidR="00EF7DCF" w:rsidRPr="00EF7DCF" w14:paraId="2BCC5C3F" w14:textId="77777777">
        <w:trPr>
          <w:cantSplit/>
          <w:jc w:val="center"/>
        </w:trPr>
        <w:tc>
          <w:tcPr>
            <w:tcW w:w="0" w:type="auto"/>
            <w:gridSpan w:val="5"/>
          </w:tcPr>
          <w:p w14:paraId="2BCC5C3E" w14:textId="77777777" w:rsidR="007F58D0" w:rsidRPr="00EF7DCF" w:rsidRDefault="00C0288F">
            <w:pPr>
              <w:keepNext/>
              <w:spacing w:after="60"/>
            </w:pPr>
            <w:r w:rsidRPr="00EF7DCF">
              <w:rPr>
                <w:rFonts w:ascii="Calibri" w:hAnsi="Calibri"/>
                <w:sz w:val="20"/>
              </w:rPr>
              <w:t>log-likelihood = -3818.16943156047</w:t>
            </w:r>
          </w:p>
        </w:tc>
      </w:tr>
      <w:tr w:rsidR="00EF7DCF" w:rsidRPr="00EF7DCF" w14:paraId="2BCC5C41" w14:textId="77777777">
        <w:trPr>
          <w:cantSplit/>
          <w:jc w:val="center"/>
        </w:trPr>
        <w:tc>
          <w:tcPr>
            <w:tcW w:w="0" w:type="auto"/>
            <w:gridSpan w:val="5"/>
          </w:tcPr>
          <w:p w14:paraId="2BCC5C40" w14:textId="77777777" w:rsidR="007F58D0" w:rsidRPr="00EF7DCF" w:rsidRDefault="00C0288F">
            <w:pPr>
              <w:keepNext/>
              <w:spacing w:after="60"/>
            </w:pPr>
            <w:r w:rsidRPr="00EF7DCF">
              <w:rPr>
                <w:rFonts w:ascii="Calibri" w:hAnsi="Calibri"/>
                <w:sz w:val="20"/>
              </w:rPr>
              <w:t>AIC = 7640.33886312094</w:t>
            </w:r>
          </w:p>
        </w:tc>
      </w:tr>
      <w:tr w:rsidR="00EF7DCF" w:rsidRPr="00EF7DCF" w14:paraId="2BCC5C43" w14:textId="77777777">
        <w:trPr>
          <w:cantSplit/>
          <w:jc w:val="center"/>
        </w:trPr>
        <w:tc>
          <w:tcPr>
            <w:tcW w:w="0" w:type="auto"/>
            <w:gridSpan w:val="5"/>
          </w:tcPr>
          <w:p w14:paraId="2BCC5C42" w14:textId="77777777" w:rsidR="007F58D0" w:rsidRPr="00EF7DCF" w:rsidRDefault="00C0288F">
            <w:pPr>
              <w:keepNext/>
              <w:spacing w:after="60"/>
            </w:pPr>
            <w:r w:rsidRPr="00EF7DCF">
              <w:rPr>
                <w:rFonts w:ascii="Calibri" w:hAnsi="Calibri"/>
                <w:sz w:val="20"/>
              </w:rPr>
              <w:t>BIC = 7650.50228029315</w:t>
            </w:r>
          </w:p>
        </w:tc>
      </w:tr>
    </w:tbl>
    <w:tbl>
      <w:tblPr>
        <w:tblStyle w:val="Table"/>
        <w:tblW w:w="5000" w:type="pct"/>
        <w:tblLayout w:type="fixed"/>
        <w:tblLook w:val="0020" w:firstRow="1" w:lastRow="0" w:firstColumn="0" w:lastColumn="0" w:noHBand="0" w:noVBand="0"/>
      </w:tblPr>
      <w:tblGrid>
        <w:gridCol w:w="9360"/>
      </w:tblGrid>
      <w:tr w:rsidR="00EF7DCF" w:rsidRPr="00EF7DCF" w14:paraId="2BCC5C48"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C44" w14:textId="77777777" w:rsidR="007F58D0" w:rsidRPr="00EF7DCF" w:rsidRDefault="00C0288F">
            <w:pPr>
              <w:pStyle w:val="ImageCaption"/>
              <w:spacing w:before="200"/>
            </w:pPr>
            <w:bookmarkStart w:id="39" w:name="tbl-km-Gompertz-ch1"/>
            <w:r w:rsidRPr="00EF7DCF">
              <w:t>Table 9: Survival model fit summary (Gompertz distribution)</w:t>
            </w:r>
          </w:p>
          <w:bookmarkEnd w:id="39"/>
          <w:p w14:paraId="2BCC5C47" w14:textId="77777777" w:rsidR="007F58D0" w:rsidRPr="00EF7DCF" w:rsidRDefault="007F58D0"/>
        </w:tc>
      </w:tr>
    </w:tbl>
    <w:p w14:paraId="2BCC5C49" w14:textId="77777777" w:rsidR="007F58D0" w:rsidRPr="00EF7DCF" w:rsidRDefault="00C0288F">
      <w:r w:rsidRPr="00EF7DCF">
        <w:br w:type="page"/>
      </w:r>
    </w:p>
    <w:p w14:paraId="2BCC5C4A" w14:textId="77777777" w:rsidR="007F58D0" w:rsidRPr="00EF7DCF" w:rsidRDefault="00C0288F">
      <w:pPr>
        <w:pStyle w:val="Heading3"/>
        <w:rPr>
          <w:color w:val="auto"/>
        </w:rPr>
      </w:pPr>
      <w:bookmarkStart w:id="40" w:name="X494ebe1d4661d1e5a53407d72c05c17ac5947c1"/>
      <w:bookmarkEnd w:id="13"/>
      <w:bookmarkEnd w:id="37"/>
      <w:r w:rsidRPr="00EF7DCF">
        <w:rPr>
          <w:color w:val="auto"/>
        </w:rPr>
        <w:lastRenderedPageBreak/>
        <w:t>Time on treatment - trastuzumab emtansine</w:t>
      </w:r>
    </w:p>
    <w:p w14:paraId="2BCC5C4B" w14:textId="77777777" w:rsidR="007F58D0" w:rsidRPr="00EF7DCF" w:rsidRDefault="00C0288F">
      <w:pPr>
        <w:pStyle w:val="FirstParagraph"/>
      </w:pPr>
      <w:r w:rsidRPr="00EF7DCF">
        <w:t>The Kaplan-Meier plot below shows time-on-treatment (</w:t>
      </w:r>
      <w:proofErr w:type="spellStart"/>
      <w:r w:rsidRPr="00EF7DCF">
        <w:t>ToT</w:t>
      </w:r>
      <w:proofErr w:type="spellEnd"/>
      <w:r w:rsidRPr="00EF7DCF">
        <w:t xml:space="preserve">) for patients receiving trastuzumab emtansine (including individuals who subsequently received trastuzumab deruxtecan). The median </w:t>
      </w:r>
      <w:proofErr w:type="spellStart"/>
      <w:r w:rsidRPr="00EF7DCF">
        <w:t>ToT</w:t>
      </w:r>
      <w:proofErr w:type="spellEnd"/>
      <w:r w:rsidRPr="00EF7DCF">
        <w:t xml:space="preserve"> was 7 months, CI (6.4 months, 7.6 months).</w:t>
      </w:r>
    </w:p>
    <w:tbl>
      <w:tblPr>
        <w:tblStyle w:val="Table"/>
        <w:tblW w:w="5000" w:type="pct"/>
        <w:tblLayout w:type="fixed"/>
        <w:tblLook w:val="0020" w:firstRow="1" w:lastRow="0" w:firstColumn="0" w:lastColumn="0" w:noHBand="0" w:noVBand="0"/>
      </w:tblPr>
      <w:tblGrid>
        <w:gridCol w:w="9360"/>
      </w:tblGrid>
      <w:tr w:rsidR="00EF7DCF" w:rsidRPr="00EF7DCF" w14:paraId="2BCC5C4E"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C4C" w14:textId="55F0D3D4" w:rsidR="007F58D0" w:rsidRPr="00EF7DCF" w:rsidRDefault="00C0288F">
            <w:pPr>
              <w:pStyle w:val="ImageCaption"/>
              <w:spacing w:before="200"/>
            </w:pPr>
            <w:bookmarkStart w:id="41" w:name="fig-tot-ch1"/>
            <w:r w:rsidRPr="00EF7DCF">
              <w:t>Figure 1</w:t>
            </w:r>
            <w:r w:rsidR="004169B2" w:rsidRPr="00EF7DCF">
              <w:t>2</w:t>
            </w:r>
            <w:r w:rsidRPr="00EF7DCF">
              <w:t>: Time-on-treatment for patients receiving trastuzumab emtansine (including individuals who subsequently received trastuzumab deruxtecan)</w:t>
            </w:r>
          </w:p>
          <w:p w14:paraId="3A7E7D91" w14:textId="77777777" w:rsidR="00E77453" w:rsidRPr="00EF7DCF" w:rsidRDefault="00E77453">
            <w:pPr>
              <w:pStyle w:val="ImageCaption"/>
              <w:spacing w:before="200"/>
            </w:pPr>
          </w:p>
          <w:p w14:paraId="2BCC5C4D" w14:textId="77777777" w:rsidR="007F58D0" w:rsidRPr="00EF7DCF" w:rsidRDefault="00C0288F">
            <w:pPr>
              <w:pStyle w:val="Compact"/>
              <w:jc w:val="center"/>
            </w:pPr>
            <w:r w:rsidRPr="00EF7DCF">
              <w:rPr>
                <w:noProof/>
              </w:rPr>
              <w:drawing>
                <wp:inline distT="0" distB="0" distL="0" distR="0" wp14:anchorId="2BCC5DB7" wp14:editId="2BCC5DB8">
                  <wp:extent cx="4620126" cy="3696101"/>
                  <wp:effectExtent l="0" t="0" r="0" b="0"/>
                  <wp:docPr id="94" name="Picture" title="A Kaplan-Meier plot showing time-on-treatment for individuals who have received trastuzumab emtansine (including individuals who subsequently received trastuzumab deruxtecan)."/>
                  <wp:cNvGraphicFramePr/>
                  <a:graphic xmlns:a="http://schemas.openxmlformats.org/drawingml/2006/main">
                    <a:graphicData uri="http://schemas.openxmlformats.org/drawingml/2006/picture">
                      <pic:pic xmlns:pic="http://schemas.openxmlformats.org/drawingml/2006/picture">
                        <pic:nvPicPr>
                          <pic:cNvPr id="95" name="Picture" descr="ID5121_trast_derux_breast_cancer_monthly_ss_files/figure-docx/fig-tot-ch1-1.png"/>
                          <pic:cNvPicPr>
                            <a:picLocks noChangeAspect="1" noChangeArrowheads="1"/>
                          </pic:cNvPicPr>
                        </pic:nvPicPr>
                        <pic:blipFill>
                          <a:blip r:embed="rId22"/>
                          <a:stretch>
                            <a:fillRect/>
                          </a:stretch>
                        </pic:blipFill>
                        <pic:spPr bwMode="auto">
                          <a:xfrm>
                            <a:off x="0" y="0"/>
                            <a:ext cx="4620126" cy="3696101"/>
                          </a:xfrm>
                          <a:prstGeom prst="rect">
                            <a:avLst/>
                          </a:prstGeom>
                          <a:noFill/>
                          <a:ln w="9525">
                            <a:noFill/>
                            <a:headEnd/>
                            <a:tailEnd/>
                          </a:ln>
                        </pic:spPr>
                      </pic:pic>
                    </a:graphicData>
                  </a:graphic>
                </wp:inline>
              </w:drawing>
            </w:r>
          </w:p>
        </w:tc>
        <w:bookmarkEnd w:id="41"/>
      </w:tr>
    </w:tbl>
    <w:p w14:paraId="2BCC5C4F" w14:textId="77777777" w:rsidR="007F58D0" w:rsidRPr="00EF7DCF" w:rsidRDefault="00C0288F">
      <w:r w:rsidRPr="00EF7DCF">
        <w:br w:type="page"/>
      </w:r>
    </w:p>
    <w:p w14:paraId="2BCC5C50" w14:textId="77777777" w:rsidR="007F58D0" w:rsidRPr="00EF7DCF" w:rsidRDefault="00C0288F">
      <w:pPr>
        <w:pStyle w:val="Heading1"/>
        <w:rPr>
          <w:color w:val="auto"/>
        </w:rPr>
      </w:pPr>
      <w:bookmarkStart w:id="42" w:name="X883ae532f2d8c7c3f05b851dd23dbc2ad0549f0"/>
      <w:bookmarkEnd w:id="2"/>
      <w:bookmarkEnd w:id="9"/>
      <w:bookmarkEnd w:id="40"/>
      <w:r w:rsidRPr="00EF7DCF">
        <w:rPr>
          <w:color w:val="auto"/>
        </w:rPr>
        <w:lastRenderedPageBreak/>
        <w:t>Age and overall survival for HER2-positive unresectable or metastatic breast cancer (cohort 2 - excluding trastuzumab deruxtecan)</w:t>
      </w:r>
    </w:p>
    <w:p w14:paraId="2BCC5C51" w14:textId="77777777" w:rsidR="007F58D0" w:rsidRPr="00EF7DCF" w:rsidRDefault="00C0288F">
      <w:pPr>
        <w:pStyle w:val="Heading2"/>
        <w:rPr>
          <w:color w:val="auto"/>
        </w:rPr>
      </w:pPr>
      <w:bookmarkStart w:id="43" w:name="introduction-1"/>
      <w:r w:rsidRPr="00EF7DCF">
        <w:rPr>
          <w:color w:val="auto"/>
        </w:rPr>
        <w:t>Introduction</w:t>
      </w:r>
    </w:p>
    <w:p w14:paraId="2BCC5C52" w14:textId="77777777" w:rsidR="007F58D0" w:rsidRPr="00EF7DCF" w:rsidRDefault="00C0288F">
      <w:pPr>
        <w:pStyle w:val="FirstParagraph"/>
      </w:pPr>
      <w:r w:rsidRPr="00EF7DCF">
        <w:t xml:space="preserve">This report was produced in partnership by the National Disease and Registration Service (NDRS) and National Institute for Health and Care Excellence (NICE). It presents overall survival and age distributions among patients aged 18 or over with HER2-positive unresectable, locally advanced or metastatic breast cancer who have received trastuzumab emtansine after trastuzumab and a </w:t>
      </w:r>
      <w:proofErr w:type="spellStart"/>
      <w:r w:rsidRPr="00EF7DCF">
        <w:t>taxan</w:t>
      </w:r>
      <w:proofErr w:type="spellEnd"/>
      <w:r w:rsidRPr="00EF7DCF">
        <w:t xml:space="preserve">, </w:t>
      </w:r>
      <w:r w:rsidRPr="00EF7DCF">
        <w:rPr>
          <w:b/>
          <w:bCs/>
        </w:rPr>
        <w:t>excluding</w:t>
      </w:r>
      <w:r w:rsidRPr="00EF7DCF">
        <w:t xml:space="preserve"> individuals who subsequently received trastuzumab deruxtecan (cohort 2).</w:t>
      </w:r>
    </w:p>
    <w:p w14:paraId="2BCC5C53" w14:textId="77777777" w:rsidR="007F58D0" w:rsidRPr="00EF7DCF" w:rsidRDefault="00C0288F">
      <w:pPr>
        <w:pStyle w:val="Heading2"/>
        <w:rPr>
          <w:color w:val="auto"/>
        </w:rPr>
      </w:pPr>
      <w:bookmarkStart w:id="44" w:name="method-1"/>
      <w:bookmarkEnd w:id="43"/>
      <w:r w:rsidRPr="00EF7DCF">
        <w:rPr>
          <w:color w:val="auto"/>
        </w:rPr>
        <w:t>Method</w:t>
      </w:r>
    </w:p>
    <w:p w14:paraId="2BCC5C54" w14:textId="77777777" w:rsidR="007F58D0" w:rsidRPr="00EF7DCF" w:rsidRDefault="00C0288F">
      <w:pPr>
        <w:pStyle w:val="FirstParagraph"/>
      </w:pPr>
      <w:r w:rsidRPr="00EF7DCF">
        <w:t>A snapshot of SACT data was taken on 5</w:t>
      </w:r>
      <w:r w:rsidRPr="00EF7DCF">
        <w:rPr>
          <w:vertAlign w:val="superscript"/>
        </w:rPr>
        <w:t>th</w:t>
      </w:r>
      <w:r w:rsidRPr="00EF7DCF">
        <w:t xml:space="preserve"> October 2025 and made available for analysis on 17</w:t>
      </w:r>
      <w:r w:rsidRPr="00EF7DCF">
        <w:rPr>
          <w:vertAlign w:val="superscript"/>
        </w:rPr>
        <w:t>th</w:t>
      </w:r>
      <w:r w:rsidRPr="00EF7DCF">
        <w:t xml:space="preserve"> October 2025. SACT data is only considered complete when 90% of trusts have submitted data. As a result, SACT data is considered complete up to 28</w:t>
      </w:r>
      <w:r w:rsidRPr="00EF7DCF">
        <w:rPr>
          <w:vertAlign w:val="superscript"/>
        </w:rPr>
        <w:t>th</w:t>
      </w:r>
      <w:r w:rsidRPr="00EF7DCF">
        <w:t xml:space="preserve"> February 2025. Patients were traced for their vital status on 5</w:t>
      </w:r>
      <w:r w:rsidRPr="00EF7DCF">
        <w:rPr>
          <w:vertAlign w:val="superscript"/>
        </w:rPr>
        <w:t>th</w:t>
      </w:r>
      <w:r w:rsidRPr="00EF7DCF">
        <w:t xml:space="preserve"> July 2025.</w:t>
      </w:r>
    </w:p>
    <w:p w14:paraId="2BCC5C55" w14:textId="77777777" w:rsidR="007F58D0" w:rsidRPr="00EF7DCF" w:rsidRDefault="00C0288F">
      <w:pPr>
        <w:pStyle w:val="BodyText"/>
      </w:pPr>
      <w:r w:rsidRPr="00EF7DCF">
        <w:t>Descriptive statistics of age were computed, along with Kaplan-Meier estimates and parametric fits for overall survival (OS). Patients were censored at the date of the most recent trace (5</w:t>
      </w:r>
      <w:r w:rsidRPr="00EF7DCF">
        <w:rPr>
          <w:vertAlign w:val="superscript"/>
        </w:rPr>
        <w:t>th</w:t>
      </w:r>
      <w:r w:rsidRPr="00EF7DCF">
        <w:t xml:space="preserve"> July 2025), representing the last date on which vital status was confirmed.</w:t>
      </w:r>
    </w:p>
    <w:p w14:paraId="2BCC5C56" w14:textId="77777777" w:rsidR="007F58D0" w:rsidRPr="00EF7DCF" w:rsidRDefault="00C0288F">
      <w:pPr>
        <w:pStyle w:val="BodyText"/>
      </w:pPr>
      <w:r w:rsidRPr="00EF7DCF">
        <w:t>Time-on-treatment was measured by the difference between a patient’s first and last trastuzumab emtansine administration date, plus a prescription length of 21 days (standard cycle length). If an individual died before the end date of the current treatment cycle, the treatment end date was revised to their date of death. If the patient’s treatment end date extended beyond the treatment censoring date (28</w:t>
      </w:r>
      <w:r w:rsidRPr="00EF7DCF">
        <w:rPr>
          <w:vertAlign w:val="superscript"/>
        </w:rPr>
        <w:t>th</w:t>
      </w:r>
      <w:r w:rsidRPr="00EF7DCF">
        <w:t xml:space="preserve"> February 2025), the patient is censored.</w:t>
      </w:r>
    </w:p>
    <w:p w14:paraId="2BCC5C57" w14:textId="77777777" w:rsidR="007F58D0" w:rsidRPr="00EF7DCF" w:rsidRDefault="00C0288F">
      <w:pPr>
        <w:pStyle w:val="Heading3"/>
        <w:rPr>
          <w:color w:val="auto"/>
        </w:rPr>
      </w:pPr>
      <w:bookmarkStart w:id="45" w:name="cohort-inclusions-exclusions-1"/>
      <w:r w:rsidRPr="00EF7DCF">
        <w:rPr>
          <w:color w:val="auto"/>
        </w:rPr>
        <w:t>Cohort inclusions / exclusions</w:t>
      </w:r>
    </w:p>
    <w:p w14:paraId="2BCC5C58" w14:textId="77777777" w:rsidR="007F58D0" w:rsidRPr="00EF7DCF" w:rsidRDefault="00C0288F">
      <w:pPr>
        <w:pStyle w:val="FirstParagraph"/>
      </w:pPr>
      <w:r w:rsidRPr="00EF7DCF">
        <w:t>Patients were included if they met all of the following:</w:t>
      </w:r>
    </w:p>
    <w:p w14:paraId="2BCC5C59" w14:textId="77777777" w:rsidR="007F58D0" w:rsidRPr="00EF7DCF" w:rsidRDefault="00C0288F">
      <w:pPr>
        <w:pStyle w:val="Compact"/>
        <w:numPr>
          <w:ilvl w:val="0"/>
          <w:numId w:val="17"/>
        </w:numPr>
      </w:pPr>
      <w:r w:rsidRPr="00EF7DCF">
        <w:t>Diagnosed between 1</w:t>
      </w:r>
      <w:r w:rsidRPr="00EF7DCF">
        <w:rPr>
          <w:vertAlign w:val="superscript"/>
        </w:rPr>
        <w:t>st</w:t>
      </w:r>
      <w:r w:rsidRPr="00EF7DCF">
        <w:t xml:space="preserve"> January 2010 and 31</w:t>
      </w:r>
      <w:r w:rsidRPr="00EF7DCF">
        <w:rPr>
          <w:vertAlign w:val="superscript"/>
        </w:rPr>
        <w:t>st</w:t>
      </w:r>
      <w:r w:rsidRPr="00EF7DCF">
        <w:t xml:space="preserve"> December 2022</w:t>
      </w:r>
    </w:p>
    <w:p w14:paraId="2BCC5C5A" w14:textId="77777777" w:rsidR="007F58D0" w:rsidRPr="00EF7DCF" w:rsidRDefault="00C0288F">
      <w:pPr>
        <w:pStyle w:val="Compact"/>
        <w:numPr>
          <w:ilvl w:val="0"/>
          <w:numId w:val="17"/>
        </w:numPr>
      </w:pPr>
      <w:r w:rsidRPr="00EF7DCF">
        <w:t>Gender recorded as male or female</w:t>
      </w:r>
    </w:p>
    <w:p w14:paraId="2BCC5C5B" w14:textId="77777777" w:rsidR="007F58D0" w:rsidRPr="00EF7DCF" w:rsidRDefault="00C0288F">
      <w:pPr>
        <w:pStyle w:val="Compact"/>
        <w:numPr>
          <w:ilvl w:val="0"/>
          <w:numId w:val="17"/>
        </w:numPr>
      </w:pPr>
      <w:r w:rsidRPr="00EF7DCF">
        <w:t>Country code was ‘England’, based on postcode of residence at diagnosis</w:t>
      </w:r>
    </w:p>
    <w:p w14:paraId="2BCC5C5C" w14:textId="77777777" w:rsidR="007F58D0" w:rsidRPr="00EF7DCF" w:rsidRDefault="00C0288F">
      <w:pPr>
        <w:pStyle w:val="Compact"/>
        <w:numPr>
          <w:ilvl w:val="0"/>
          <w:numId w:val="17"/>
        </w:numPr>
      </w:pPr>
      <w:r w:rsidRPr="00EF7DCF">
        <w:t>Age at diagnosis date was 18 or over</w:t>
      </w:r>
    </w:p>
    <w:p w14:paraId="2BCC5C5D" w14:textId="77777777" w:rsidR="007F58D0" w:rsidRPr="00EF7DCF" w:rsidRDefault="00C0288F">
      <w:pPr>
        <w:pStyle w:val="Compact"/>
        <w:numPr>
          <w:ilvl w:val="0"/>
          <w:numId w:val="17"/>
        </w:numPr>
      </w:pPr>
      <w:r w:rsidRPr="00EF7DCF">
        <w:t>ICD-10 diagnosis code was ‘C50*’ (Malignant melanoma of breast)</w:t>
      </w:r>
    </w:p>
    <w:p w14:paraId="2BCC5C5E" w14:textId="77777777" w:rsidR="007F58D0" w:rsidRPr="00EF7DCF" w:rsidRDefault="00C0288F">
      <w:pPr>
        <w:pStyle w:val="Compact"/>
        <w:numPr>
          <w:ilvl w:val="0"/>
          <w:numId w:val="17"/>
        </w:numPr>
      </w:pPr>
      <w:r w:rsidRPr="00EF7DCF">
        <w:t>Tumour stage (at diagnosis) was 3 or 4</w:t>
      </w:r>
    </w:p>
    <w:p w14:paraId="2BCC5C5F" w14:textId="77777777" w:rsidR="007F58D0" w:rsidRPr="00EF7DCF" w:rsidRDefault="00C0288F">
      <w:pPr>
        <w:pStyle w:val="Compact"/>
        <w:numPr>
          <w:ilvl w:val="0"/>
          <w:numId w:val="17"/>
        </w:numPr>
      </w:pPr>
      <w:r w:rsidRPr="00EF7DCF">
        <w:t>Only one breast cancer tumour recorded during the study period</w:t>
      </w:r>
    </w:p>
    <w:p w14:paraId="2BCC5C60" w14:textId="77777777" w:rsidR="007F58D0" w:rsidRPr="00EF7DCF" w:rsidRDefault="00C0288F">
      <w:pPr>
        <w:pStyle w:val="Compact"/>
        <w:numPr>
          <w:ilvl w:val="0"/>
          <w:numId w:val="17"/>
        </w:numPr>
      </w:pPr>
      <w:r w:rsidRPr="00EF7DCF">
        <w:t>Prior treatment with trastuzumab and a taxane, followed by trastuzumab emtansine between relevant dates (see points below)</w:t>
      </w:r>
    </w:p>
    <w:p w14:paraId="2BCC5C61" w14:textId="77777777" w:rsidR="007F58D0" w:rsidRPr="00EF7DCF" w:rsidRDefault="00C0288F">
      <w:pPr>
        <w:pStyle w:val="Compact"/>
        <w:numPr>
          <w:ilvl w:val="0"/>
          <w:numId w:val="17"/>
        </w:numPr>
      </w:pPr>
      <w:r w:rsidRPr="00EF7DCF">
        <w:lastRenderedPageBreak/>
        <w:t>Trastuzumab emtansine was initiated on or after 19</w:t>
      </w:r>
      <w:r w:rsidRPr="00EF7DCF">
        <w:rPr>
          <w:vertAlign w:val="superscript"/>
        </w:rPr>
        <w:t>th</w:t>
      </w:r>
      <w:r w:rsidRPr="00EF7DCF">
        <w:t xml:space="preserve"> July 2017 (NICE TA458 publication date). Usage before this point would be through the Cancer Drugs Fund or compassionate use schemes.</w:t>
      </w:r>
    </w:p>
    <w:p w14:paraId="2BCC5C62" w14:textId="77777777" w:rsidR="007F58D0" w:rsidRPr="00EF7DCF" w:rsidRDefault="00C0288F">
      <w:pPr>
        <w:pStyle w:val="Compact"/>
        <w:numPr>
          <w:ilvl w:val="0"/>
          <w:numId w:val="17"/>
        </w:numPr>
      </w:pPr>
      <w:r w:rsidRPr="00EF7DCF">
        <w:t>Trastuzumab emtansine was initiated on or before the point at which SACT is considered complete (28</w:t>
      </w:r>
      <w:r w:rsidRPr="00EF7DCF">
        <w:rPr>
          <w:vertAlign w:val="superscript"/>
        </w:rPr>
        <w:t>th</w:t>
      </w:r>
      <w:r w:rsidRPr="00EF7DCF">
        <w:t xml:space="preserve"> February 2025).</w:t>
      </w:r>
    </w:p>
    <w:p w14:paraId="2BCC5C63" w14:textId="77777777" w:rsidR="007F58D0" w:rsidRPr="00EF7DCF" w:rsidRDefault="00C0288F">
      <w:pPr>
        <w:pStyle w:val="Compact"/>
        <w:numPr>
          <w:ilvl w:val="0"/>
          <w:numId w:val="17"/>
        </w:numPr>
      </w:pPr>
      <w:r w:rsidRPr="00EF7DCF">
        <w:t>Trastuzumab emtansine was not recorded as being administered in an adjuvant/neoadjuvant or curative setting</w:t>
      </w:r>
    </w:p>
    <w:p w14:paraId="2BCC5C64" w14:textId="77777777" w:rsidR="007F58D0" w:rsidRPr="00EF7DCF" w:rsidRDefault="00C0288F">
      <w:pPr>
        <w:pStyle w:val="FirstParagraph"/>
      </w:pPr>
      <w:r w:rsidRPr="00EF7DCF">
        <w:t>Patients were excluded if:</w:t>
      </w:r>
    </w:p>
    <w:p w14:paraId="2BCC5C65" w14:textId="77777777" w:rsidR="007F58D0" w:rsidRPr="00EF7DCF" w:rsidRDefault="00C0288F">
      <w:pPr>
        <w:pStyle w:val="Compact"/>
        <w:numPr>
          <w:ilvl w:val="0"/>
          <w:numId w:val="18"/>
        </w:numPr>
      </w:pPr>
      <w:r w:rsidRPr="00EF7DCF">
        <w:t>Subsequent treatment included trastuzumab deruxtecan</w:t>
      </w:r>
    </w:p>
    <w:p w14:paraId="2BCC5C66" w14:textId="77777777" w:rsidR="007F58D0" w:rsidRPr="00EF7DCF" w:rsidRDefault="00C0288F">
      <w:pPr>
        <w:pStyle w:val="Heading4"/>
        <w:rPr>
          <w:color w:val="auto"/>
        </w:rPr>
      </w:pPr>
      <w:bookmarkStart w:id="46" w:name="flow-chart-1"/>
      <w:r w:rsidRPr="00EF7DCF">
        <w:rPr>
          <w:color w:val="auto"/>
        </w:rPr>
        <w:t>Flow chart</w:t>
      </w:r>
    </w:p>
    <w:tbl>
      <w:tblPr>
        <w:tblStyle w:val="Table"/>
        <w:tblW w:w="5000" w:type="pct"/>
        <w:tblLook w:val="0020" w:firstRow="1" w:lastRow="0" w:firstColumn="0" w:lastColumn="0" w:noHBand="0" w:noVBand="0"/>
      </w:tblPr>
      <w:tblGrid>
        <w:gridCol w:w="9360"/>
      </w:tblGrid>
      <w:tr w:rsidR="00EF7DCF" w:rsidRPr="00EF7DCF" w14:paraId="3C0A3BCE" w14:textId="77777777" w:rsidTr="00E860C0">
        <w:trPr>
          <w:cnfStyle w:val="100000000000" w:firstRow="1" w:lastRow="0" w:firstColumn="0" w:lastColumn="0" w:oddVBand="0" w:evenVBand="0" w:oddHBand="0" w:evenHBand="0" w:firstRowFirstColumn="0" w:firstRowLastColumn="0" w:lastRowFirstColumn="0" w:lastRowLastColumn="0"/>
        </w:trPr>
        <w:tc>
          <w:tcPr>
            <w:tcW w:w="0" w:type="auto"/>
          </w:tcPr>
          <w:p w14:paraId="38C1D569" w14:textId="77777777" w:rsidR="00C0288F" w:rsidRPr="00EF7DCF" w:rsidRDefault="00C0288F" w:rsidP="00900977">
            <w:pPr>
              <w:jc w:val="center"/>
            </w:pPr>
            <w:bookmarkStart w:id="47" w:name="fig-flow-ch2"/>
          </w:p>
          <w:p w14:paraId="7F24F020" w14:textId="77777777" w:rsidR="00C0288F" w:rsidRPr="00EF7DCF" w:rsidRDefault="00C0288F" w:rsidP="00900977">
            <w:pPr>
              <w:pStyle w:val="ImageCaption"/>
              <w:spacing w:before="200"/>
            </w:pPr>
            <w:r w:rsidRPr="00EF7DCF">
              <w:t>Figure 13: Inclusion / Exclusion Flow Chart</w:t>
            </w:r>
          </w:p>
          <w:p w14:paraId="471CEF04" w14:textId="77777777" w:rsidR="00C0288F" w:rsidRPr="00EF7DCF" w:rsidRDefault="00C0288F" w:rsidP="00900977">
            <w:pPr>
              <w:pStyle w:val="ImageCaption"/>
              <w:spacing w:before="200"/>
              <w:jc w:val="center"/>
            </w:pPr>
            <w:r w:rsidRPr="00EF7DCF">
              <w:rPr>
                <w:noProof/>
              </w:rPr>
              <w:drawing>
                <wp:inline distT="0" distB="0" distL="0" distR="0" wp14:anchorId="2A3E3412" wp14:editId="2F6056C1">
                  <wp:extent cx="5943600" cy="3559175"/>
                  <wp:effectExtent l="0" t="0" r="0" b="3175"/>
                  <wp:docPr id="696571423" name="Picture" title="A flowchart showing how exclusion criteria reduce the sample to 820 cases"/>
                  <wp:cNvGraphicFramePr/>
                  <a:graphic xmlns:a="http://schemas.openxmlformats.org/drawingml/2006/main">
                    <a:graphicData uri="http://schemas.openxmlformats.org/drawingml/2006/picture">
                      <pic:pic xmlns:pic="http://schemas.openxmlformats.org/drawingml/2006/picture">
                        <pic:nvPicPr>
                          <pic:cNvPr id="107" name="Picture" descr="ID5121_trast_derux_breast_cancer_files/figure-docx/fig-flow-ch2-1.png"/>
                          <pic:cNvPicPr>
                            <a:picLocks noChangeAspect="1" noChangeArrowheads="1"/>
                          </pic:cNvPicPr>
                        </pic:nvPicPr>
                        <pic:blipFill>
                          <a:blip r:embed="rId23"/>
                          <a:stretch>
                            <a:fillRect/>
                          </a:stretch>
                        </pic:blipFill>
                        <pic:spPr bwMode="auto">
                          <a:xfrm>
                            <a:off x="0" y="0"/>
                            <a:ext cx="5943600" cy="3559175"/>
                          </a:xfrm>
                          <a:prstGeom prst="rect">
                            <a:avLst/>
                          </a:prstGeom>
                          <a:noFill/>
                          <a:ln w="9525">
                            <a:noFill/>
                            <a:headEnd/>
                            <a:tailEnd/>
                          </a:ln>
                        </pic:spPr>
                      </pic:pic>
                    </a:graphicData>
                  </a:graphic>
                </wp:inline>
              </w:drawing>
            </w:r>
          </w:p>
        </w:tc>
        <w:bookmarkEnd w:id="47"/>
      </w:tr>
    </w:tbl>
    <w:p w14:paraId="0411C511" w14:textId="6FA50F05" w:rsidR="00C0288F" w:rsidRPr="00EF7DCF" w:rsidRDefault="00C0288F" w:rsidP="00C0288F">
      <w:pPr>
        <w:pStyle w:val="BodyText"/>
      </w:pPr>
      <w:r w:rsidRPr="00EF7DCF">
        <w:t>P</w:t>
      </w:r>
    </w:p>
    <w:p w14:paraId="2BCC5C67" w14:textId="77777777" w:rsidR="007F58D0" w:rsidRPr="00EF7DCF" w:rsidRDefault="00C0288F">
      <w:pPr>
        <w:pStyle w:val="Heading3"/>
        <w:rPr>
          <w:color w:val="auto"/>
        </w:rPr>
      </w:pPr>
      <w:bookmarkStart w:id="48" w:name="patient-acknowledgement-1"/>
      <w:bookmarkEnd w:id="45"/>
      <w:bookmarkEnd w:id="46"/>
      <w:r w:rsidRPr="00EF7DCF">
        <w:rPr>
          <w:color w:val="auto"/>
        </w:rPr>
        <w:t>Patient acknowledgement</w:t>
      </w:r>
    </w:p>
    <w:p w14:paraId="2BCC5C68" w14:textId="77777777" w:rsidR="007F58D0" w:rsidRPr="00EF7DCF" w:rsidRDefault="00C0288F">
      <w:pPr>
        <w:pStyle w:val="FirstParagraph"/>
      </w:pPr>
      <w:r w:rsidRPr="00EF7DCF">
        <w:t>This work uses data that has been provided by patients and collected by the NHS as part of their care and support. The data is collated, maintained and quality assured by the National Cancer Registration and Analysis Service, which is part of NHS England.</w:t>
      </w:r>
    </w:p>
    <w:p w14:paraId="2BCC5C69" w14:textId="77777777" w:rsidR="007F58D0" w:rsidRPr="00EF7DCF" w:rsidRDefault="00C0288F">
      <w:r w:rsidRPr="00EF7DCF">
        <w:br w:type="page"/>
      </w:r>
    </w:p>
    <w:p w14:paraId="2BCC5C6A" w14:textId="77777777" w:rsidR="007F58D0" w:rsidRPr="00EF7DCF" w:rsidRDefault="00C0288F">
      <w:pPr>
        <w:pStyle w:val="Heading2"/>
        <w:rPr>
          <w:color w:val="auto"/>
        </w:rPr>
      </w:pPr>
      <w:bookmarkStart w:id="49" w:name="results-1"/>
      <w:bookmarkEnd w:id="44"/>
      <w:bookmarkEnd w:id="48"/>
      <w:r w:rsidRPr="00EF7DCF">
        <w:rPr>
          <w:color w:val="auto"/>
        </w:rPr>
        <w:lastRenderedPageBreak/>
        <w:t>Results</w:t>
      </w:r>
    </w:p>
    <w:p w14:paraId="2BCC5C6B" w14:textId="77777777" w:rsidR="007F58D0" w:rsidRPr="00EF7DCF" w:rsidRDefault="00C0288F">
      <w:pPr>
        <w:pStyle w:val="Heading3"/>
        <w:rPr>
          <w:color w:val="auto"/>
        </w:rPr>
      </w:pPr>
      <w:bookmarkStart w:id="50" w:name="age-at-start-of-treatment-1"/>
      <w:r w:rsidRPr="00EF7DCF">
        <w:rPr>
          <w:color w:val="auto"/>
        </w:rPr>
        <w:t>Age at start of treatment</w:t>
      </w:r>
    </w:p>
    <w:p w14:paraId="2BCC5C6C" w14:textId="77777777" w:rsidR="007F58D0" w:rsidRPr="00EF7DCF" w:rsidRDefault="00C0288F">
      <w:pPr>
        <w:pStyle w:val="FirstParagraph"/>
      </w:pPr>
      <w:r w:rsidRPr="00EF7DCF">
        <w:t>The table below sets out the mean age, standard deviation, median age and interquartile range (IQR) of patients who have received trastuzumab emtansine for HER2 positive unresectable, locally advanced or metastatic breast cancer (</w:t>
      </w:r>
      <w:r w:rsidRPr="00EF7DCF">
        <w:rPr>
          <w:b/>
          <w:bCs/>
        </w:rPr>
        <w:t>excluding</w:t>
      </w:r>
      <w:r w:rsidRPr="00EF7DCF">
        <w:t xml:space="preserve"> individuals who subsequently received trastuzumab deruxtecan). Age is measured at the commencement of the first treatment regimen of trastuzumab emtansine. </w:t>
      </w:r>
    </w:p>
    <w:tbl>
      <w:tblPr>
        <w:tblW w:w="0" w:type="auto"/>
        <w:jc w:val="center"/>
        <w:tblCellMar>
          <w:left w:w="60" w:type="dxa"/>
          <w:right w:w="60" w:type="dxa"/>
        </w:tblCellMar>
        <w:tblLook w:val="0000" w:firstRow="0" w:lastRow="0" w:firstColumn="0" w:lastColumn="0" w:noHBand="0" w:noVBand="0"/>
      </w:tblPr>
      <w:tblGrid>
        <w:gridCol w:w="1991"/>
        <w:gridCol w:w="1756"/>
      </w:tblGrid>
      <w:tr w:rsidR="00EF7DCF" w:rsidRPr="00EF7DCF" w14:paraId="2BCC5C6F" w14:textId="77777777">
        <w:trPr>
          <w:cantSplit/>
          <w:tblHeader/>
          <w:jc w:val="center"/>
        </w:trPr>
        <w:tc>
          <w:tcPr>
            <w:tcW w:w="0" w:type="auto"/>
            <w:tcBorders>
              <w:top w:val="single" w:sz="16" w:space="0" w:color="D3D3D3"/>
              <w:left w:val="single" w:sz="0" w:space="0" w:color="D3D3D3"/>
              <w:bottom w:val="single" w:sz="16" w:space="0" w:color="D3D3D3"/>
            </w:tcBorders>
          </w:tcPr>
          <w:p w14:paraId="2BCC5C6D" w14:textId="77777777" w:rsidR="007F58D0" w:rsidRPr="00EF7DCF" w:rsidRDefault="00C0288F">
            <w:pPr>
              <w:keepNext/>
              <w:spacing w:after="60"/>
            </w:pPr>
            <w:r w:rsidRPr="00EF7DCF">
              <w:rPr>
                <w:rFonts w:ascii="Calibri" w:hAnsi="Calibri"/>
                <w:b/>
                <w:sz w:val="20"/>
              </w:rPr>
              <w:t>Characteristic</w:t>
            </w:r>
          </w:p>
        </w:tc>
        <w:tc>
          <w:tcPr>
            <w:tcW w:w="0" w:type="auto"/>
            <w:tcBorders>
              <w:top w:val="single" w:sz="16" w:space="0" w:color="D3D3D3"/>
              <w:bottom w:val="single" w:sz="16" w:space="0" w:color="D3D3D3"/>
              <w:right w:val="single" w:sz="0" w:space="0" w:color="D3D3D3"/>
            </w:tcBorders>
          </w:tcPr>
          <w:p w14:paraId="2BCC5C6E" w14:textId="77777777" w:rsidR="007F58D0" w:rsidRPr="00EF7DCF" w:rsidRDefault="00C0288F">
            <w:pPr>
              <w:keepNext/>
              <w:spacing w:after="60"/>
              <w:jc w:val="center"/>
            </w:pPr>
            <w:r w:rsidRPr="00EF7DCF">
              <w:rPr>
                <w:rFonts w:ascii="Calibri" w:hAnsi="Calibri"/>
                <w:b/>
                <w:sz w:val="20"/>
              </w:rPr>
              <w:t>N = 820</w:t>
            </w:r>
            <w:r w:rsidRPr="00EF7DCF">
              <w:rPr>
                <w:rFonts w:ascii="Calibri" w:hAnsi="Calibri"/>
                <w:i/>
                <w:sz w:val="20"/>
                <w:vertAlign w:val="superscript"/>
              </w:rPr>
              <w:t>1</w:t>
            </w:r>
          </w:p>
        </w:tc>
      </w:tr>
      <w:tr w:rsidR="00EF7DCF" w:rsidRPr="00EF7DCF" w14:paraId="2BCC5C72"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C70" w14:textId="77777777" w:rsidR="007F58D0" w:rsidRPr="00EF7DCF" w:rsidRDefault="00C0288F">
            <w:pPr>
              <w:keepNext/>
              <w:spacing w:after="60"/>
            </w:pPr>
            <w:r w:rsidRPr="00EF7DCF">
              <w:rPr>
                <w:rFonts w:ascii="Calibri" w:hAnsi="Calibri"/>
                <w:sz w:val="20"/>
              </w:rPr>
              <w:t>Age at start of regimen</w:t>
            </w:r>
          </w:p>
        </w:tc>
        <w:tc>
          <w:tcPr>
            <w:tcW w:w="0" w:type="auto"/>
            <w:tcBorders>
              <w:top w:val="single" w:sz="0" w:space="0" w:color="D3D3D3"/>
              <w:left w:val="single" w:sz="0" w:space="0" w:color="D3D3D3"/>
              <w:bottom w:val="single" w:sz="0" w:space="0" w:color="D3D3D3"/>
              <w:right w:val="single" w:sz="0" w:space="0" w:color="D3D3D3"/>
            </w:tcBorders>
          </w:tcPr>
          <w:p w14:paraId="2BCC5C71" w14:textId="77777777" w:rsidR="007F58D0" w:rsidRPr="00EF7DCF" w:rsidRDefault="00C0288F">
            <w:pPr>
              <w:keepNext/>
              <w:spacing w:after="60"/>
              <w:jc w:val="center"/>
            </w:pPr>
            <w:r w:rsidRPr="00EF7DCF">
              <w:rPr>
                <w:rFonts w:ascii="Calibri" w:hAnsi="Calibri"/>
                <w:sz w:val="20"/>
              </w:rPr>
              <w:t>58, (13) : 58 (49, 69)</w:t>
            </w:r>
          </w:p>
        </w:tc>
      </w:tr>
      <w:tr w:rsidR="00EF7DCF" w:rsidRPr="00EF7DCF" w14:paraId="2BCC5C74" w14:textId="77777777">
        <w:trPr>
          <w:cantSplit/>
          <w:jc w:val="center"/>
        </w:trPr>
        <w:tc>
          <w:tcPr>
            <w:tcW w:w="0" w:type="auto"/>
            <w:gridSpan w:val="2"/>
          </w:tcPr>
          <w:p w14:paraId="2BCC5C73" w14:textId="77777777" w:rsidR="007F58D0" w:rsidRPr="00EF7DCF" w:rsidRDefault="00C0288F">
            <w:pPr>
              <w:keepNext/>
              <w:spacing w:after="60"/>
            </w:pPr>
            <w:r w:rsidRPr="00EF7DCF">
              <w:rPr>
                <w:rFonts w:ascii="Calibri" w:hAnsi="Calibri"/>
                <w:i/>
                <w:sz w:val="20"/>
                <w:vertAlign w:val="superscript"/>
              </w:rPr>
              <w:t>1</w:t>
            </w:r>
            <w:r w:rsidRPr="00EF7DCF">
              <w:rPr>
                <w:rFonts w:ascii="Calibri" w:hAnsi="Calibri"/>
                <w:sz w:val="20"/>
              </w:rPr>
              <w:t>Mean, (SD) : Median (Q1, Q3)</w:t>
            </w:r>
          </w:p>
        </w:tc>
      </w:tr>
    </w:tbl>
    <w:tbl>
      <w:tblPr>
        <w:tblStyle w:val="Table"/>
        <w:tblW w:w="5000" w:type="pct"/>
        <w:tblLayout w:type="fixed"/>
        <w:tblLook w:val="0020" w:firstRow="1" w:lastRow="0" w:firstColumn="0" w:lastColumn="0" w:noHBand="0" w:noVBand="0"/>
      </w:tblPr>
      <w:tblGrid>
        <w:gridCol w:w="9360"/>
      </w:tblGrid>
      <w:tr w:rsidR="00EF7DCF" w:rsidRPr="00EF7DCF" w14:paraId="2BCC5C79"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C75" w14:textId="77777777" w:rsidR="007F58D0" w:rsidRPr="00EF7DCF" w:rsidRDefault="00C0288F">
            <w:pPr>
              <w:pStyle w:val="ImageCaption"/>
              <w:spacing w:before="200"/>
            </w:pPr>
            <w:bookmarkStart w:id="51" w:name="tbl-age-dist-ch2"/>
            <w:r w:rsidRPr="00EF7DCF">
              <w:t>Table 10: Mean age, standard deviation, median age and IQR of patients who have received trastuzumab emtansine</w:t>
            </w:r>
          </w:p>
          <w:bookmarkEnd w:id="51"/>
          <w:p w14:paraId="2BCC5C78" w14:textId="77777777" w:rsidR="007F58D0" w:rsidRPr="00EF7DCF" w:rsidRDefault="007F58D0"/>
        </w:tc>
      </w:tr>
      <w:tr w:rsidR="00EF7DCF" w:rsidRPr="00EF7DCF" w14:paraId="2BCC5C7C" w14:textId="77777777" w:rsidTr="00E860C0">
        <w:tc>
          <w:tcPr>
            <w:tcW w:w="7920" w:type="dxa"/>
          </w:tcPr>
          <w:p w14:paraId="2BCC5C7A" w14:textId="4BF31CE5" w:rsidR="007F58D0" w:rsidRPr="00EF7DCF" w:rsidRDefault="00C0288F">
            <w:pPr>
              <w:pStyle w:val="ImageCaption"/>
              <w:spacing w:before="200"/>
            </w:pPr>
            <w:bookmarkStart w:id="52" w:name="fig-age-dist-ch2"/>
            <w:r w:rsidRPr="00EF7DCF">
              <w:t>Figure 1</w:t>
            </w:r>
            <w:r w:rsidR="004169B2" w:rsidRPr="00EF7DCF">
              <w:t>4</w:t>
            </w:r>
            <w:r w:rsidRPr="00EF7DCF">
              <w:t>: Age distribution of patients who have received trastuzumab emtansine (excluding individuals who subsequently received trastuzumab deruxtecan)</w:t>
            </w:r>
          </w:p>
          <w:p w14:paraId="2BCC5C7B" w14:textId="77777777" w:rsidR="007F58D0" w:rsidRPr="00EF7DCF" w:rsidRDefault="00C0288F">
            <w:pPr>
              <w:pStyle w:val="Compact"/>
              <w:jc w:val="center"/>
            </w:pPr>
            <w:r w:rsidRPr="00EF7DCF">
              <w:rPr>
                <w:noProof/>
              </w:rPr>
              <w:drawing>
                <wp:inline distT="0" distB="0" distL="0" distR="0" wp14:anchorId="2BCC5DB9" wp14:editId="2BCC5DBA">
                  <wp:extent cx="4620126" cy="3696101"/>
                  <wp:effectExtent l="0" t="0" r="0" b="0"/>
                  <wp:docPr id="107" name="Picture" title="A histogram showing age distribution for individuals who have received trastuzumab emtansine"/>
                  <wp:cNvGraphicFramePr/>
                  <a:graphic xmlns:a="http://schemas.openxmlformats.org/drawingml/2006/main">
                    <a:graphicData uri="http://schemas.openxmlformats.org/drawingml/2006/picture">
                      <pic:pic xmlns:pic="http://schemas.openxmlformats.org/drawingml/2006/picture">
                        <pic:nvPicPr>
                          <pic:cNvPr id="108" name="Picture" descr="ID5121_trast_derux_breast_cancer_monthly_ss_files/figure-docx/fig-age-dist-ch2-1.png"/>
                          <pic:cNvPicPr>
                            <a:picLocks noChangeAspect="1" noChangeArrowheads="1"/>
                          </pic:cNvPicPr>
                        </pic:nvPicPr>
                        <pic:blipFill>
                          <a:blip r:embed="rId24"/>
                          <a:stretch>
                            <a:fillRect/>
                          </a:stretch>
                        </pic:blipFill>
                        <pic:spPr bwMode="auto">
                          <a:xfrm>
                            <a:off x="0" y="0"/>
                            <a:ext cx="4620126" cy="3696101"/>
                          </a:xfrm>
                          <a:prstGeom prst="rect">
                            <a:avLst/>
                          </a:prstGeom>
                          <a:noFill/>
                          <a:ln w="9525">
                            <a:noFill/>
                            <a:headEnd/>
                            <a:tailEnd/>
                          </a:ln>
                        </pic:spPr>
                      </pic:pic>
                    </a:graphicData>
                  </a:graphic>
                </wp:inline>
              </w:drawing>
            </w:r>
          </w:p>
        </w:tc>
        <w:bookmarkEnd w:id="52"/>
      </w:tr>
    </w:tbl>
    <w:p w14:paraId="2BCC5C7D" w14:textId="77777777" w:rsidR="007F58D0" w:rsidRPr="00EF7DCF" w:rsidRDefault="00C0288F">
      <w:r w:rsidRPr="00EF7DCF">
        <w:br w:type="page"/>
      </w:r>
    </w:p>
    <w:p w14:paraId="2BCC5C7E" w14:textId="77777777" w:rsidR="007F58D0" w:rsidRPr="00EF7DCF" w:rsidRDefault="00C0288F">
      <w:pPr>
        <w:pStyle w:val="Heading3"/>
        <w:rPr>
          <w:color w:val="auto"/>
        </w:rPr>
      </w:pPr>
      <w:bookmarkStart w:id="53" w:name="overall-survival-1"/>
      <w:bookmarkEnd w:id="50"/>
      <w:r w:rsidRPr="00EF7DCF">
        <w:rPr>
          <w:color w:val="auto"/>
        </w:rPr>
        <w:lastRenderedPageBreak/>
        <w:t>Overall survival</w:t>
      </w:r>
    </w:p>
    <w:p w14:paraId="2BCC5C7F" w14:textId="77777777" w:rsidR="007F58D0" w:rsidRPr="00EF7DCF" w:rsidRDefault="00C0288F">
      <w:pPr>
        <w:pStyle w:val="Heading4"/>
        <w:rPr>
          <w:color w:val="auto"/>
        </w:rPr>
      </w:pPr>
      <w:bookmarkStart w:id="54" w:name="base-k-m-plot-1"/>
      <w:r w:rsidRPr="00EF7DCF">
        <w:rPr>
          <w:color w:val="auto"/>
        </w:rPr>
        <w:t>Base K-M plot</w:t>
      </w:r>
    </w:p>
    <w:p w14:paraId="2BCC5C80" w14:textId="77777777" w:rsidR="007F58D0" w:rsidRPr="00EF7DCF" w:rsidRDefault="00C0288F">
      <w:pPr>
        <w:pStyle w:val="FirstParagraph"/>
      </w:pPr>
      <w:r w:rsidRPr="00EF7DCF">
        <w:t>The Kaplan-Meier plot below shows survival over time for those receiving a treatment regimen of trastuzumab emtansine (excluding individuals who subsequently received trastuzumab deruxtecan).</w:t>
      </w:r>
    </w:p>
    <w:p w14:paraId="2BCC5C81" w14:textId="77777777" w:rsidR="007F58D0" w:rsidRPr="00EF7DCF" w:rsidRDefault="00C0288F">
      <w:pPr>
        <w:pStyle w:val="BodyText"/>
      </w:pPr>
      <w:r w:rsidRPr="00EF7DCF">
        <w:t>Median survival was 16.85 months, and restricted mean survival (over the whole curve) was 29 months. The minimum follow-up time was 0 months, median 15.1 months, and maximum follow-up time of 93.9 months.</w:t>
      </w:r>
    </w:p>
    <w:tbl>
      <w:tblPr>
        <w:tblStyle w:val="Table"/>
        <w:tblW w:w="5000" w:type="pct"/>
        <w:tblLayout w:type="fixed"/>
        <w:tblLook w:val="0020" w:firstRow="1" w:lastRow="0" w:firstColumn="0" w:lastColumn="0" w:noHBand="0" w:noVBand="0"/>
      </w:tblPr>
      <w:tblGrid>
        <w:gridCol w:w="9360"/>
      </w:tblGrid>
      <w:tr w:rsidR="00EF7DCF" w:rsidRPr="00EF7DCF" w14:paraId="2BCC5C84"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C82" w14:textId="38CD8C58" w:rsidR="007F58D0" w:rsidRPr="00EF7DCF" w:rsidRDefault="00C0288F">
            <w:pPr>
              <w:pStyle w:val="ImageCaption"/>
              <w:spacing w:before="200"/>
            </w:pPr>
            <w:bookmarkStart w:id="55" w:name="fig-km-ch2"/>
            <w:r w:rsidRPr="00EF7DCF">
              <w:t>Figure 1</w:t>
            </w:r>
            <w:r w:rsidR="00B61FB8" w:rsidRPr="00EF7DCF">
              <w:t>5</w:t>
            </w:r>
            <w:r w:rsidRPr="00EF7DCF">
              <w:t>: Overall survival amongst patients who have received trastuzumab emtansine</w:t>
            </w:r>
          </w:p>
          <w:p w14:paraId="2BCC5C83" w14:textId="77777777" w:rsidR="007F58D0" w:rsidRPr="00EF7DCF" w:rsidRDefault="00C0288F">
            <w:pPr>
              <w:pStyle w:val="Compact"/>
              <w:jc w:val="center"/>
            </w:pPr>
            <w:r w:rsidRPr="00EF7DCF">
              <w:rPr>
                <w:noProof/>
              </w:rPr>
              <w:drawing>
                <wp:inline distT="0" distB="0" distL="0" distR="0" wp14:anchorId="2BCC5DBB" wp14:editId="2BCC5DBC">
                  <wp:extent cx="4620126" cy="3696101"/>
                  <wp:effectExtent l="0" t="0" r="0" b="0"/>
                  <wp:docPr id="112" name="Picture" title="A Kaplan-Meier plot showing overall survival over time for individuals who have received trastuzumab emtansine (excluding individuals who subsequently received trastuzumab deruxtecan)."/>
                  <wp:cNvGraphicFramePr/>
                  <a:graphic xmlns:a="http://schemas.openxmlformats.org/drawingml/2006/main">
                    <a:graphicData uri="http://schemas.openxmlformats.org/drawingml/2006/picture">
                      <pic:pic xmlns:pic="http://schemas.openxmlformats.org/drawingml/2006/picture">
                        <pic:nvPicPr>
                          <pic:cNvPr id="113" name="Picture" descr="ID5121_trast_derux_breast_cancer_monthly_ss_files/figure-docx/fig-km-ch2-1.png"/>
                          <pic:cNvPicPr>
                            <a:picLocks noChangeAspect="1" noChangeArrowheads="1"/>
                          </pic:cNvPicPr>
                        </pic:nvPicPr>
                        <pic:blipFill>
                          <a:blip r:embed="rId25"/>
                          <a:stretch>
                            <a:fillRect/>
                          </a:stretch>
                        </pic:blipFill>
                        <pic:spPr bwMode="auto">
                          <a:xfrm>
                            <a:off x="0" y="0"/>
                            <a:ext cx="4620126" cy="3696101"/>
                          </a:xfrm>
                          <a:prstGeom prst="rect">
                            <a:avLst/>
                          </a:prstGeom>
                          <a:noFill/>
                          <a:ln w="9525">
                            <a:noFill/>
                            <a:headEnd/>
                            <a:tailEnd/>
                          </a:ln>
                        </pic:spPr>
                      </pic:pic>
                    </a:graphicData>
                  </a:graphic>
                </wp:inline>
              </w:drawing>
            </w:r>
          </w:p>
        </w:tc>
        <w:bookmarkEnd w:id="55"/>
      </w:tr>
    </w:tbl>
    <w:p w14:paraId="2BCC5C85" w14:textId="77777777" w:rsidR="007F58D0" w:rsidRPr="00EF7DCF" w:rsidRDefault="00C0288F">
      <w:r w:rsidRPr="00EF7DCF">
        <w:br w:type="page"/>
      </w:r>
    </w:p>
    <w:p w14:paraId="2BCC5C86" w14:textId="77777777" w:rsidR="007F58D0" w:rsidRPr="00EF7DCF" w:rsidRDefault="00C0288F">
      <w:pPr>
        <w:pStyle w:val="Heading4"/>
        <w:rPr>
          <w:color w:val="auto"/>
        </w:rPr>
      </w:pPr>
      <w:bookmarkStart w:id="56" w:name="exponential-1"/>
      <w:bookmarkEnd w:id="54"/>
      <w:r w:rsidRPr="00EF7DCF">
        <w:rPr>
          <w:color w:val="auto"/>
        </w:rPr>
        <w:lastRenderedPageBreak/>
        <w:t>Exponential</w:t>
      </w:r>
    </w:p>
    <w:tbl>
      <w:tblPr>
        <w:tblStyle w:val="Table"/>
        <w:tblW w:w="5000" w:type="pct"/>
        <w:tblLayout w:type="fixed"/>
        <w:tblLook w:val="0020" w:firstRow="1" w:lastRow="0" w:firstColumn="0" w:lastColumn="0" w:noHBand="0" w:noVBand="0"/>
      </w:tblPr>
      <w:tblGrid>
        <w:gridCol w:w="9360"/>
      </w:tblGrid>
      <w:tr w:rsidR="00EF7DCF" w:rsidRPr="00EF7DCF" w14:paraId="2BCC5C89"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C87" w14:textId="1D09BB25" w:rsidR="007F58D0" w:rsidRPr="00EF7DCF" w:rsidRDefault="00C0288F">
            <w:pPr>
              <w:pStyle w:val="ImageCaption"/>
              <w:spacing w:before="200"/>
            </w:pPr>
            <w:bookmarkStart w:id="57" w:name="fig-km_exp-ch2"/>
            <w:r w:rsidRPr="00EF7DCF">
              <w:t>Figure 1</w:t>
            </w:r>
            <w:r w:rsidR="00B61FB8" w:rsidRPr="00EF7DCF">
              <w:t>6</w:t>
            </w:r>
            <w:r w:rsidRPr="00EF7DCF">
              <w:t>: Overall survival against exponential survival function</w:t>
            </w:r>
          </w:p>
          <w:p w14:paraId="2BCC5C88" w14:textId="77777777" w:rsidR="007F58D0" w:rsidRPr="00EF7DCF" w:rsidRDefault="00C0288F">
            <w:pPr>
              <w:pStyle w:val="Compact"/>
              <w:jc w:val="center"/>
            </w:pPr>
            <w:r w:rsidRPr="00EF7DCF">
              <w:rPr>
                <w:noProof/>
              </w:rPr>
              <w:drawing>
                <wp:inline distT="0" distB="0" distL="0" distR="0" wp14:anchorId="2BCC5DBD" wp14:editId="2BCC5DBE">
                  <wp:extent cx="4620126" cy="3696101"/>
                  <wp:effectExtent l="0" t="0" r="0" b="0"/>
                  <wp:docPr id="117" name="Picture" title="A Kaplan-Meier plot showing overall survival over time for individuals who have received trastuzumab emtansine (excluding individuals who subsequently received trastuzumab deruxtecan), with an overlaid exponential model fit."/>
                  <wp:cNvGraphicFramePr/>
                  <a:graphic xmlns:a="http://schemas.openxmlformats.org/drawingml/2006/main">
                    <a:graphicData uri="http://schemas.openxmlformats.org/drawingml/2006/picture">
                      <pic:pic xmlns:pic="http://schemas.openxmlformats.org/drawingml/2006/picture">
                        <pic:nvPicPr>
                          <pic:cNvPr id="118" name="Picture" descr="ID5121_trast_derux_breast_cancer_monthly_ss_files/figure-docx/fig-km_exp-ch2-1.png"/>
                          <pic:cNvPicPr>
                            <a:picLocks noChangeAspect="1" noChangeArrowheads="1"/>
                          </pic:cNvPicPr>
                        </pic:nvPicPr>
                        <pic:blipFill>
                          <a:blip r:embed="rId26"/>
                          <a:stretch>
                            <a:fillRect/>
                          </a:stretch>
                        </pic:blipFill>
                        <pic:spPr bwMode="auto">
                          <a:xfrm>
                            <a:off x="0" y="0"/>
                            <a:ext cx="4620126" cy="3696101"/>
                          </a:xfrm>
                          <a:prstGeom prst="rect">
                            <a:avLst/>
                          </a:prstGeom>
                          <a:noFill/>
                          <a:ln w="9525">
                            <a:noFill/>
                            <a:headEnd/>
                            <a:tailEnd/>
                          </a:ln>
                        </pic:spPr>
                      </pic:pic>
                    </a:graphicData>
                  </a:graphic>
                </wp:inline>
              </w:drawing>
            </w:r>
          </w:p>
        </w:tc>
        <w:bookmarkEnd w:id="57"/>
      </w:tr>
    </w:tbl>
    <w:p w14:paraId="2BCC5C8A"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881"/>
        <w:gridCol w:w="723"/>
      </w:tblGrid>
      <w:tr w:rsidR="00EF7DCF" w:rsidRPr="00EF7DCF" w14:paraId="2BCC5C90" w14:textId="77777777">
        <w:trPr>
          <w:cantSplit/>
          <w:tblHeader/>
          <w:jc w:val="center"/>
        </w:trPr>
        <w:tc>
          <w:tcPr>
            <w:tcW w:w="0" w:type="auto"/>
            <w:tcBorders>
              <w:top w:val="single" w:sz="16" w:space="0" w:color="D3D3D3"/>
              <w:left w:val="single" w:sz="0" w:space="0" w:color="D3D3D3"/>
              <w:bottom w:val="single" w:sz="16" w:space="0" w:color="D3D3D3"/>
            </w:tcBorders>
          </w:tcPr>
          <w:p w14:paraId="2BCC5C8B"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C8C"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C8D"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C8E" w14:textId="77777777" w:rsidR="007F58D0" w:rsidRPr="00EF7DCF" w:rsidRDefault="00C0288F">
            <w:pPr>
              <w:keepNext/>
              <w:spacing w:after="60"/>
              <w:jc w:val="right"/>
            </w:pPr>
            <w:r w:rsidRPr="00EF7DCF">
              <w:rPr>
                <w:rFonts w:ascii="Calibri" w:hAnsi="Calibri"/>
                <w:sz w:val="20"/>
              </w:rPr>
              <w:t>z</w:t>
            </w:r>
          </w:p>
        </w:tc>
        <w:tc>
          <w:tcPr>
            <w:tcW w:w="0" w:type="auto"/>
            <w:tcBorders>
              <w:top w:val="single" w:sz="16" w:space="0" w:color="D3D3D3"/>
              <w:bottom w:val="single" w:sz="16" w:space="0" w:color="D3D3D3"/>
              <w:right w:val="single" w:sz="0" w:space="0" w:color="D3D3D3"/>
            </w:tcBorders>
          </w:tcPr>
          <w:p w14:paraId="2BCC5C8F" w14:textId="77777777" w:rsidR="007F58D0" w:rsidRPr="00EF7DCF" w:rsidRDefault="00C0288F">
            <w:pPr>
              <w:keepNext/>
              <w:spacing w:after="60"/>
              <w:jc w:val="right"/>
            </w:pPr>
            <w:r w:rsidRPr="00EF7DCF">
              <w:rPr>
                <w:rFonts w:ascii="Calibri" w:hAnsi="Calibri"/>
                <w:sz w:val="20"/>
              </w:rPr>
              <w:t>p-value</w:t>
            </w:r>
          </w:p>
        </w:tc>
      </w:tr>
      <w:tr w:rsidR="00EF7DCF" w:rsidRPr="00EF7DCF" w14:paraId="2BCC5C96"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C91" w14:textId="77777777" w:rsidR="007F58D0" w:rsidRPr="00EF7DCF" w:rsidRDefault="00C0288F">
            <w:pPr>
              <w:keepNext/>
              <w:spacing w:after="60"/>
            </w:pPr>
            <w:r w:rsidRPr="00EF7DCF">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2BCC5C92" w14:textId="77777777" w:rsidR="007F58D0" w:rsidRPr="00EF7DCF" w:rsidRDefault="00C0288F">
            <w:pPr>
              <w:keepNext/>
              <w:spacing w:after="60"/>
              <w:jc w:val="right"/>
            </w:pPr>
            <w:r w:rsidRPr="00EF7DCF">
              <w:rPr>
                <w:rFonts w:ascii="Calibri" w:hAnsi="Calibri"/>
                <w:sz w:val="20"/>
              </w:rPr>
              <w:t>3.355</w:t>
            </w:r>
          </w:p>
        </w:tc>
        <w:tc>
          <w:tcPr>
            <w:tcW w:w="0" w:type="auto"/>
            <w:tcBorders>
              <w:top w:val="single" w:sz="0" w:space="0" w:color="D3D3D3"/>
              <w:left w:val="single" w:sz="0" w:space="0" w:color="D3D3D3"/>
              <w:bottom w:val="single" w:sz="0" w:space="0" w:color="D3D3D3"/>
              <w:right w:val="single" w:sz="0" w:space="0" w:color="D3D3D3"/>
            </w:tcBorders>
          </w:tcPr>
          <w:p w14:paraId="2BCC5C93" w14:textId="77777777" w:rsidR="007F58D0" w:rsidRPr="00EF7DCF" w:rsidRDefault="00C0288F">
            <w:pPr>
              <w:keepNext/>
              <w:spacing w:after="60"/>
              <w:jc w:val="right"/>
            </w:pPr>
            <w:r w:rsidRPr="00EF7DCF">
              <w:rPr>
                <w:rFonts w:ascii="Calibri" w:hAnsi="Calibri"/>
                <w:sz w:val="20"/>
              </w:rPr>
              <w:t>0.040</w:t>
            </w:r>
          </w:p>
        </w:tc>
        <w:tc>
          <w:tcPr>
            <w:tcW w:w="0" w:type="auto"/>
            <w:tcBorders>
              <w:top w:val="single" w:sz="0" w:space="0" w:color="D3D3D3"/>
              <w:left w:val="single" w:sz="0" w:space="0" w:color="D3D3D3"/>
              <w:bottom w:val="single" w:sz="0" w:space="0" w:color="D3D3D3"/>
              <w:right w:val="single" w:sz="0" w:space="0" w:color="D3D3D3"/>
            </w:tcBorders>
          </w:tcPr>
          <w:p w14:paraId="2BCC5C94" w14:textId="77777777" w:rsidR="007F58D0" w:rsidRPr="00EF7DCF" w:rsidRDefault="00C0288F">
            <w:pPr>
              <w:keepNext/>
              <w:spacing w:after="60"/>
              <w:jc w:val="right"/>
            </w:pPr>
            <w:r w:rsidRPr="00EF7DCF">
              <w:rPr>
                <w:rFonts w:ascii="Calibri" w:hAnsi="Calibri"/>
                <w:sz w:val="20"/>
              </w:rPr>
              <w:t>83.53788</w:t>
            </w:r>
          </w:p>
        </w:tc>
        <w:tc>
          <w:tcPr>
            <w:tcW w:w="0" w:type="auto"/>
            <w:tcBorders>
              <w:top w:val="single" w:sz="0" w:space="0" w:color="D3D3D3"/>
              <w:left w:val="single" w:sz="0" w:space="0" w:color="D3D3D3"/>
              <w:bottom w:val="single" w:sz="0" w:space="0" w:color="D3D3D3"/>
              <w:right w:val="single" w:sz="0" w:space="0" w:color="D3D3D3"/>
            </w:tcBorders>
          </w:tcPr>
          <w:p w14:paraId="2BCC5C95" w14:textId="77777777" w:rsidR="007F58D0" w:rsidRPr="00EF7DCF" w:rsidRDefault="00C0288F">
            <w:pPr>
              <w:keepNext/>
              <w:spacing w:after="60"/>
              <w:jc w:val="right"/>
            </w:pPr>
            <w:r w:rsidRPr="00EF7DCF">
              <w:rPr>
                <w:rFonts w:ascii="Calibri" w:hAnsi="Calibri"/>
                <w:sz w:val="20"/>
              </w:rPr>
              <w:t>0</w:t>
            </w:r>
          </w:p>
        </w:tc>
      </w:tr>
      <w:tr w:rsidR="00EF7DCF" w:rsidRPr="00EF7DCF" w14:paraId="2BCC5C98" w14:textId="77777777">
        <w:trPr>
          <w:cantSplit/>
          <w:jc w:val="center"/>
        </w:trPr>
        <w:tc>
          <w:tcPr>
            <w:tcW w:w="0" w:type="auto"/>
            <w:gridSpan w:val="5"/>
          </w:tcPr>
          <w:p w14:paraId="2BCC5C97" w14:textId="77777777" w:rsidR="007F58D0" w:rsidRPr="00EF7DCF" w:rsidRDefault="00C0288F">
            <w:pPr>
              <w:keepNext/>
              <w:spacing w:after="60"/>
            </w:pPr>
            <w:r w:rsidRPr="00EF7DCF">
              <w:rPr>
                <w:rFonts w:ascii="Calibri" w:hAnsi="Calibri"/>
                <w:sz w:val="20"/>
              </w:rPr>
              <w:t>log-likelihood = -2700.07645931116</w:t>
            </w:r>
          </w:p>
        </w:tc>
      </w:tr>
      <w:tr w:rsidR="00EF7DCF" w:rsidRPr="00EF7DCF" w14:paraId="2BCC5C9A" w14:textId="77777777">
        <w:trPr>
          <w:cantSplit/>
          <w:jc w:val="center"/>
        </w:trPr>
        <w:tc>
          <w:tcPr>
            <w:tcW w:w="0" w:type="auto"/>
            <w:gridSpan w:val="5"/>
          </w:tcPr>
          <w:p w14:paraId="2BCC5C99" w14:textId="77777777" w:rsidR="007F58D0" w:rsidRPr="00EF7DCF" w:rsidRDefault="00C0288F">
            <w:pPr>
              <w:keepNext/>
              <w:spacing w:after="60"/>
            </w:pPr>
            <w:r w:rsidRPr="00EF7DCF">
              <w:rPr>
                <w:rFonts w:ascii="Calibri" w:hAnsi="Calibri"/>
                <w:sz w:val="20"/>
              </w:rPr>
              <w:t>AIC = 5402.15291862233</w:t>
            </w:r>
          </w:p>
        </w:tc>
      </w:tr>
      <w:tr w:rsidR="00EF7DCF" w:rsidRPr="00EF7DCF" w14:paraId="2BCC5C9C" w14:textId="77777777">
        <w:trPr>
          <w:cantSplit/>
          <w:jc w:val="center"/>
        </w:trPr>
        <w:tc>
          <w:tcPr>
            <w:tcW w:w="0" w:type="auto"/>
            <w:gridSpan w:val="5"/>
          </w:tcPr>
          <w:p w14:paraId="2BCC5C9B" w14:textId="77777777" w:rsidR="007F58D0" w:rsidRPr="00EF7DCF" w:rsidRDefault="00C0288F">
            <w:pPr>
              <w:keepNext/>
              <w:spacing w:after="60"/>
            </w:pPr>
            <w:r w:rsidRPr="00EF7DCF">
              <w:rPr>
                <w:rFonts w:ascii="Calibri" w:hAnsi="Calibri"/>
                <w:sz w:val="20"/>
              </w:rPr>
              <w:t>BIC = 5406.86222296259</w:t>
            </w:r>
          </w:p>
        </w:tc>
      </w:tr>
    </w:tbl>
    <w:tbl>
      <w:tblPr>
        <w:tblStyle w:val="Table"/>
        <w:tblW w:w="5000" w:type="pct"/>
        <w:tblLayout w:type="fixed"/>
        <w:tblLook w:val="0020" w:firstRow="1" w:lastRow="0" w:firstColumn="0" w:lastColumn="0" w:noHBand="0" w:noVBand="0"/>
      </w:tblPr>
      <w:tblGrid>
        <w:gridCol w:w="9360"/>
      </w:tblGrid>
      <w:tr w:rsidR="00EF7DCF" w:rsidRPr="00EF7DCF" w14:paraId="2BCC5CA1"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C9D" w14:textId="77777777" w:rsidR="007F58D0" w:rsidRPr="00EF7DCF" w:rsidRDefault="00C0288F">
            <w:pPr>
              <w:pStyle w:val="ImageCaption"/>
              <w:spacing w:before="200"/>
            </w:pPr>
            <w:bookmarkStart w:id="58" w:name="tbl-km-exp-ch2"/>
            <w:r w:rsidRPr="00EF7DCF">
              <w:t>Table 11: Survival model fit summary (exponential distribution)</w:t>
            </w:r>
          </w:p>
          <w:bookmarkEnd w:id="58"/>
          <w:p w14:paraId="2BCC5CA0" w14:textId="77777777" w:rsidR="007F58D0" w:rsidRPr="00EF7DCF" w:rsidRDefault="007F58D0"/>
        </w:tc>
      </w:tr>
    </w:tbl>
    <w:p w14:paraId="2BCC5CA2" w14:textId="77777777" w:rsidR="007F58D0" w:rsidRPr="00EF7DCF" w:rsidRDefault="00C0288F">
      <w:r w:rsidRPr="00EF7DCF">
        <w:br w:type="page"/>
      </w:r>
    </w:p>
    <w:p w14:paraId="2BCC5CA3" w14:textId="77777777" w:rsidR="007F58D0" w:rsidRPr="00EF7DCF" w:rsidRDefault="00C0288F">
      <w:pPr>
        <w:pStyle w:val="Heading4"/>
        <w:rPr>
          <w:color w:val="auto"/>
        </w:rPr>
      </w:pPr>
      <w:bookmarkStart w:id="59" w:name="weibull-1"/>
      <w:bookmarkEnd w:id="56"/>
      <w:r w:rsidRPr="00EF7DCF">
        <w:rPr>
          <w:color w:val="auto"/>
        </w:rPr>
        <w:lastRenderedPageBreak/>
        <w:t>Weibull</w:t>
      </w:r>
    </w:p>
    <w:tbl>
      <w:tblPr>
        <w:tblStyle w:val="Table"/>
        <w:tblW w:w="5000" w:type="pct"/>
        <w:tblLayout w:type="fixed"/>
        <w:tblLook w:val="0020" w:firstRow="1" w:lastRow="0" w:firstColumn="0" w:lastColumn="0" w:noHBand="0" w:noVBand="0"/>
      </w:tblPr>
      <w:tblGrid>
        <w:gridCol w:w="9360"/>
      </w:tblGrid>
      <w:tr w:rsidR="00EF7DCF" w:rsidRPr="00EF7DCF" w14:paraId="2BCC5CA6"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CA4" w14:textId="26AEC26F" w:rsidR="007F58D0" w:rsidRPr="00EF7DCF" w:rsidRDefault="00C0288F">
            <w:pPr>
              <w:pStyle w:val="ImageCaption"/>
              <w:spacing w:before="200"/>
            </w:pPr>
            <w:bookmarkStart w:id="60" w:name="fig-km-weibull-ch2"/>
            <w:r w:rsidRPr="00EF7DCF">
              <w:t>Figure 1</w:t>
            </w:r>
            <w:r w:rsidR="00B61FB8" w:rsidRPr="00EF7DCF">
              <w:t>7</w:t>
            </w:r>
            <w:r w:rsidRPr="00EF7DCF">
              <w:t>: Overall survival against Weibull survival function</w:t>
            </w:r>
          </w:p>
          <w:p w14:paraId="2BCC5CA5" w14:textId="77777777" w:rsidR="007F58D0" w:rsidRPr="00EF7DCF" w:rsidRDefault="00C0288F">
            <w:pPr>
              <w:pStyle w:val="Compact"/>
              <w:jc w:val="center"/>
            </w:pPr>
            <w:r w:rsidRPr="00EF7DCF">
              <w:rPr>
                <w:noProof/>
              </w:rPr>
              <w:drawing>
                <wp:inline distT="0" distB="0" distL="0" distR="0" wp14:anchorId="2BCC5DBF" wp14:editId="2BCC5DC0">
                  <wp:extent cx="4620126" cy="3696101"/>
                  <wp:effectExtent l="0" t="0" r="0" b="0"/>
                  <wp:docPr id="123" name="Picture" title="A Kaplan-Meier plot showing overall survival over time for individuals who have received trastuzumab emtansine (excluding individuals who subsequently received trastuzumab deruxtecan), with an overlaid Weibull model fit."/>
                  <wp:cNvGraphicFramePr/>
                  <a:graphic xmlns:a="http://schemas.openxmlformats.org/drawingml/2006/main">
                    <a:graphicData uri="http://schemas.openxmlformats.org/drawingml/2006/picture">
                      <pic:pic xmlns:pic="http://schemas.openxmlformats.org/drawingml/2006/picture">
                        <pic:nvPicPr>
                          <pic:cNvPr id="124" name="Picture" descr="ID5121_trast_derux_breast_cancer_monthly_ss_files/figure-docx/fig-km-weibull-ch2-1.png"/>
                          <pic:cNvPicPr>
                            <a:picLocks noChangeAspect="1" noChangeArrowheads="1"/>
                          </pic:cNvPicPr>
                        </pic:nvPicPr>
                        <pic:blipFill>
                          <a:blip r:embed="rId27"/>
                          <a:stretch>
                            <a:fillRect/>
                          </a:stretch>
                        </pic:blipFill>
                        <pic:spPr bwMode="auto">
                          <a:xfrm>
                            <a:off x="0" y="0"/>
                            <a:ext cx="4620126" cy="3696101"/>
                          </a:xfrm>
                          <a:prstGeom prst="rect">
                            <a:avLst/>
                          </a:prstGeom>
                          <a:noFill/>
                          <a:ln w="9525">
                            <a:noFill/>
                            <a:headEnd/>
                            <a:tailEnd/>
                          </a:ln>
                        </pic:spPr>
                      </pic:pic>
                    </a:graphicData>
                  </a:graphic>
                </wp:inline>
              </w:drawing>
            </w:r>
          </w:p>
        </w:tc>
        <w:bookmarkEnd w:id="60"/>
      </w:tr>
    </w:tbl>
    <w:p w14:paraId="2BCC5CA7"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1083"/>
        <w:gridCol w:w="982"/>
      </w:tblGrid>
      <w:tr w:rsidR="00EF7DCF" w:rsidRPr="00EF7DCF" w14:paraId="2BCC5CAD" w14:textId="77777777">
        <w:trPr>
          <w:cantSplit/>
          <w:tblHeader/>
          <w:jc w:val="center"/>
        </w:trPr>
        <w:tc>
          <w:tcPr>
            <w:tcW w:w="0" w:type="auto"/>
            <w:tcBorders>
              <w:top w:val="single" w:sz="16" w:space="0" w:color="D3D3D3"/>
              <w:left w:val="single" w:sz="0" w:space="0" w:color="D3D3D3"/>
              <w:bottom w:val="single" w:sz="16" w:space="0" w:color="D3D3D3"/>
            </w:tcBorders>
          </w:tcPr>
          <w:p w14:paraId="2BCC5CA8"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CA9"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CAA"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CAB" w14:textId="77777777" w:rsidR="007F58D0" w:rsidRPr="00EF7DCF" w:rsidRDefault="00C0288F">
            <w:pPr>
              <w:keepNext/>
              <w:spacing w:after="60"/>
              <w:jc w:val="right"/>
            </w:pPr>
            <w:r w:rsidRPr="00EF7DCF">
              <w:rPr>
                <w:rFonts w:ascii="Calibri" w:hAnsi="Calibri"/>
                <w:sz w:val="20"/>
              </w:rPr>
              <w:t>z</w:t>
            </w:r>
          </w:p>
        </w:tc>
        <w:tc>
          <w:tcPr>
            <w:tcW w:w="0" w:type="auto"/>
            <w:tcBorders>
              <w:top w:val="single" w:sz="16" w:space="0" w:color="D3D3D3"/>
              <w:bottom w:val="single" w:sz="16" w:space="0" w:color="D3D3D3"/>
              <w:right w:val="single" w:sz="0" w:space="0" w:color="D3D3D3"/>
            </w:tcBorders>
          </w:tcPr>
          <w:p w14:paraId="2BCC5CAC" w14:textId="77777777" w:rsidR="007F58D0" w:rsidRPr="00EF7DCF" w:rsidRDefault="00C0288F">
            <w:pPr>
              <w:keepNext/>
              <w:spacing w:after="60"/>
              <w:jc w:val="right"/>
            </w:pPr>
            <w:r w:rsidRPr="00EF7DCF">
              <w:rPr>
                <w:rFonts w:ascii="Calibri" w:hAnsi="Calibri"/>
                <w:sz w:val="20"/>
              </w:rPr>
              <w:t>p-value</w:t>
            </w:r>
          </w:p>
        </w:tc>
      </w:tr>
      <w:tr w:rsidR="00EF7DCF" w:rsidRPr="00EF7DCF" w14:paraId="2BCC5CB3"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CAE" w14:textId="77777777" w:rsidR="007F58D0" w:rsidRPr="00EF7DCF" w:rsidRDefault="00C0288F">
            <w:pPr>
              <w:keepNext/>
              <w:spacing w:after="60"/>
            </w:pPr>
            <w:r w:rsidRPr="00EF7DCF">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2BCC5CAF" w14:textId="77777777" w:rsidR="007F58D0" w:rsidRPr="00EF7DCF" w:rsidRDefault="00C0288F">
            <w:pPr>
              <w:keepNext/>
              <w:spacing w:after="60"/>
              <w:jc w:val="right"/>
            </w:pPr>
            <w:r w:rsidRPr="00EF7DCF">
              <w:rPr>
                <w:rFonts w:ascii="Calibri" w:hAnsi="Calibri"/>
                <w:sz w:val="20"/>
              </w:rPr>
              <w:t>3.353</w:t>
            </w:r>
          </w:p>
        </w:tc>
        <w:tc>
          <w:tcPr>
            <w:tcW w:w="0" w:type="auto"/>
            <w:tcBorders>
              <w:top w:val="single" w:sz="0" w:space="0" w:color="D3D3D3"/>
              <w:left w:val="single" w:sz="0" w:space="0" w:color="D3D3D3"/>
              <w:bottom w:val="single" w:sz="0" w:space="0" w:color="D3D3D3"/>
              <w:right w:val="single" w:sz="0" w:space="0" w:color="D3D3D3"/>
            </w:tcBorders>
          </w:tcPr>
          <w:p w14:paraId="2BCC5CB0" w14:textId="77777777" w:rsidR="007F58D0" w:rsidRPr="00EF7DCF" w:rsidRDefault="00C0288F">
            <w:pPr>
              <w:keepNext/>
              <w:spacing w:after="60"/>
              <w:jc w:val="right"/>
            </w:pPr>
            <w:r w:rsidRPr="00EF7DCF">
              <w:rPr>
                <w:rFonts w:ascii="Calibri" w:hAnsi="Calibri"/>
                <w:sz w:val="20"/>
              </w:rPr>
              <w:t>0.041</w:t>
            </w:r>
          </w:p>
        </w:tc>
        <w:tc>
          <w:tcPr>
            <w:tcW w:w="0" w:type="auto"/>
            <w:tcBorders>
              <w:top w:val="single" w:sz="0" w:space="0" w:color="D3D3D3"/>
              <w:left w:val="single" w:sz="0" w:space="0" w:color="D3D3D3"/>
              <w:bottom w:val="single" w:sz="0" w:space="0" w:color="D3D3D3"/>
              <w:right w:val="single" w:sz="0" w:space="0" w:color="D3D3D3"/>
            </w:tcBorders>
          </w:tcPr>
          <w:p w14:paraId="2BCC5CB1" w14:textId="77777777" w:rsidR="007F58D0" w:rsidRPr="00EF7DCF" w:rsidRDefault="00C0288F">
            <w:pPr>
              <w:keepNext/>
              <w:spacing w:after="60"/>
              <w:jc w:val="right"/>
            </w:pPr>
            <w:r w:rsidRPr="00EF7DCF">
              <w:rPr>
                <w:rFonts w:ascii="Calibri" w:hAnsi="Calibri"/>
                <w:sz w:val="20"/>
              </w:rPr>
              <w:t>81.2942994</w:t>
            </w:r>
          </w:p>
        </w:tc>
        <w:tc>
          <w:tcPr>
            <w:tcW w:w="0" w:type="auto"/>
            <w:tcBorders>
              <w:top w:val="single" w:sz="0" w:space="0" w:color="D3D3D3"/>
              <w:left w:val="single" w:sz="0" w:space="0" w:color="D3D3D3"/>
              <w:bottom w:val="single" w:sz="0" w:space="0" w:color="D3D3D3"/>
              <w:right w:val="single" w:sz="0" w:space="0" w:color="D3D3D3"/>
            </w:tcBorders>
          </w:tcPr>
          <w:p w14:paraId="2BCC5CB2" w14:textId="77777777" w:rsidR="007F58D0" w:rsidRPr="00EF7DCF" w:rsidRDefault="00C0288F">
            <w:pPr>
              <w:keepNext/>
              <w:spacing w:after="60"/>
              <w:jc w:val="right"/>
            </w:pPr>
            <w:r w:rsidRPr="00EF7DCF">
              <w:rPr>
                <w:rFonts w:ascii="Calibri" w:hAnsi="Calibri"/>
                <w:sz w:val="20"/>
              </w:rPr>
              <w:t>0.0000000</w:t>
            </w:r>
          </w:p>
        </w:tc>
      </w:tr>
      <w:tr w:rsidR="00EF7DCF" w:rsidRPr="00EF7DCF" w14:paraId="2BCC5CB9"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CB4" w14:textId="77777777" w:rsidR="007F58D0" w:rsidRPr="00EF7DCF" w:rsidRDefault="00C0288F">
            <w:pPr>
              <w:keepNext/>
              <w:spacing w:after="60"/>
            </w:pPr>
            <w:r w:rsidRPr="00EF7DCF">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2BCC5CB5" w14:textId="77777777" w:rsidR="007F58D0" w:rsidRPr="00EF7DCF" w:rsidRDefault="00C0288F">
            <w:pPr>
              <w:keepNext/>
              <w:spacing w:after="60"/>
              <w:jc w:val="right"/>
            </w:pPr>
            <w:r w:rsidRPr="00EF7DCF">
              <w:rPr>
                <w:rFonts w:ascii="Calibri" w:hAnsi="Calibri"/>
                <w:sz w:val="20"/>
              </w:rPr>
              <w:t>0.026</w:t>
            </w:r>
          </w:p>
        </w:tc>
        <w:tc>
          <w:tcPr>
            <w:tcW w:w="0" w:type="auto"/>
            <w:tcBorders>
              <w:top w:val="single" w:sz="0" w:space="0" w:color="D3D3D3"/>
              <w:left w:val="single" w:sz="0" w:space="0" w:color="D3D3D3"/>
              <w:bottom w:val="single" w:sz="0" w:space="0" w:color="D3D3D3"/>
              <w:right w:val="single" w:sz="0" w:space="0" w:color="D3D3D3"/>
            </w:tcBorders>
          </w:tcPr>
          <w:p w14:paraId="2BCC5CB6" w14:textId="77777777" w:rsidR="007F58D0" w:rsidRPr="00EF7DCF" w:rsidRDefault="00C0288F">
            <w:pPr>
              <w:keepNext/>
              <w:spacing w:after="60"/>
              <w:jc w:val="right"/>
            </w:pPr>
            <w:r w:rsidRPr="00EF7DCF">
              <w:rPr>
                <w:rFonts w:ascii="Calibri" w:hAnsi="Calibri"/>
                <w:sz w:val="20"/>
              </w:rPr>
              <w:t>0.032</w:t>
            </w:r>
          </w:p>
        </w:tc>
        <w:tc>
          <w:tcPr>
            <w:tcW w:w="0" w:type="auto"/>
            <w:tcBorders>
              <w:top w:val="single" w:sz="0" w:space="0" w:color="D3D3D3"/>
              <w:left w:val="single" w:sz="0" w:space="0" w:color="D3D3D3"/>
              <w:bottom w:val="single" w:sz="0" w:space="0" w:color="D3D3D3"/>
              <w:right w:val="single" w:sz="0" w:space="0" w:color="D3D3D3"/>
            </w:tcBorders>
          </w:tcPr>
          <w:p w14:paraId="2BCC5CB7" w14:textId="77777777" w:rsidR="007F58D0" w:rsidRPr="00EF7DCF" w:rsidRDefault="00C0288F">
            <w:pPr>
              <w:keepNext/>
              <w:spacing w:after="60"/>
              <w:jc w:val="right"/>
            </w:pPr>
            <w:r w:rsidRPr="00EF7DCF">
              <w:rPr>
                <w:rFonts w:ascii="Calibri" w:hAnsi="Calibri"/>
                <w:sz w:val="20"/>
              </w:rPr>
              <w:t>0.7974424</w:t>
            </w:r>
          </w:p>
        </w:tc>
        <w:tc>
          <w:tcPr>
            <w:tcW w:w="0" w:type="auto"/>
            <w:tcBorders>
              <w:top w:val="single" w:sz="0" w:space="0" w:color="D3D3D3"/>
              <w:left w:val="single" w:sz="0" w:space="0" w:color="D3D3D3"/>
              <w:bottom w:val="single" w:sz="0" w:space="0" w:color="D3D3D3"/>
              <w:right w:val="single" w:sz="0" w:space="0" w:color="D3D3D3"/>
            </w:tcBorders>
          </w:tcPr>
          <w:p w14:paraId="2BCC5CB8" w14:textId="77777777" w:rsidR="007F58D0" w:rsidRPr="00EF7DCF" w:rsidRDefault="00C0288F">
            <w:pPr>
              <w:keepNext/>
              <w:spacing w:after="60"/>
              <w:jc w:val="right"/>
            </w:pPr>
            <w:r w:rsidRPr="00EF7DCF">
              <w:rPr>
                <w:rFonts w:ascii="Calibri" w:hAnsi="Calibri"/>
                <w:sz w:val="20"/>
              </w:rPr>
              <w:t>0.4251942</w:t>
            </w:r>
          </w:p>
        </w:tc>
      </w:tr>
      <w:tr w:rsidR="00EF7DCF" w:rsidRPr="00EF7DCF" w14:paraId="2BCC5CBB" w14:textId="77777777">
        <w:trPr>
          <w:cantSplit/>
          <w:jc w:val="center"/>
        </w:trPr>
        <w:tc>
          <w:tcPr>
            <w:tcW w:w="0" w:type="auto"/>
            <w:gridSpan w:val="5"/>
          </w:tcPr>
          <w:p w14:paraId="2BCC5CBA" w14:textId="77777777" w:rsidR="007F58D0" w:rsidRPr="00EF7DCF" w:rsidRDefault="00C0288F">
            <w:pPr>
              <w:keepNext/>
              <w:spacing w:after="60"/>
            </w:pPr>
            <w:r w:rsidRPr="00EF7DCF">
              <w:rPr>
                <w:rFonts w:ascii="Calibri" w:hAnsi="Calibri"/>
                <w:sz w:val="20"/>
              </w:rPr>
              <w:t>log-likelihood = -2699.75432533132</w:t>
            </w:r>
          </w:p>
        </w:tc>
      </w:tr>
      <w:tr w:rsidR="00EF7DCF" w:rsidRPr="00EF7DCF" w14:paraId="2BCC5CBD" w14:textId="77777777">
        <w:trPr>
          <w:cantSplit/>
          <w:jc w:val="center"/>
        </w:trPr>
        <w:tc>
          <w:tcPr>
            <w:tcW w:w="0" w:type="auto"/>
            <w:gridSpan w:val="5"/>
          </w:tcPr>
          <w:p w14:paraId="2BCC5CBC" w14:textId="77777777" w:rsidR="007F58D0" w:rsidRPr="00EF7DCF" w:rsidRDefault="00C0288F">
            <w:pPr>
              <w:keepNext/>
              <w:spacing w:after="60"/>
            </w:pPr>
            <w:r w:rsidRPr="00EF7DCF">
              <w:rPr>
                <w:rFonts w:ascii="Calibri" w:hAnsi="Calibri"/>
                <w:sz w:val="20"/>
              </w:rPr>
              <w:t>AIC = 5403.50865066264</w:t>
            </w:r>
          </w:p>
        </w:tc>
      </w:tr>
      <w:tr w:rsidR="00EF7DCF" w:rsidRPr="00EF7DCF" w14:paraId="2BCC5CBF" w14:textId="77777777">
        <w:trPr>
          <w:cantSplit/>
          <w:jc w:val="center"/>
        </w:trPr>
        <w:tc>
          <w:tcPr>
            <w:tcW w:w="0" w:type="auto"/>
            <w:gridSpan w:val="5"/>
          </w:tcPr>
          <w:p w14:paraId="2BCC5CBE" w14:textId="77777777" w:rsidR="007F58D0" w:rsidRPr="00EF7DCF" w:rsidRDefault="00C0288F">
            <w:pPr>
              <w:keepNext/>
              <w:spacing w:after="60"/>
            </w:pPr>
            <w:r w:rsidRPr="00EF7DCF">
              <w:rPr>
                <w:rFonts w:ascii="Calibri" w:hAnsi="Calibri"/>
                <w:sz w:val="20"/>
              </w:rPr>
              <w:t>BIC = 5412.92725934316</w:t>
            </w:r>
          </w:p>
        </w:tc>
      </w:tr>
    </w:tbl>
    <w:tbl>
      <w:tblPr>
        <w:tblStyle w:val="Table"/>
        <w:tblW w:w="5000" w:type="pct"/>
        <w:tblLayout w:type="fixed"/>
        <w:tblLook w:val="0020" w:firstRow="1" w:lastRow="0" w:firstColumn="0" w:lastColumn="0" w:noHBand="0" w:noVBand="0"/>
      </w:tblPr>
      <w:tblGrid>
        <w:gridCol w:w="9360"/>
      </w:tblGrid>
      <w:tr w:rsidR="00EF7DCF" w:rsidRPr="00EF7DCF" w14:paraId="2BCC5CC4"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CC0" w14:textId="77777777" w:rsidR="007F58D0" w:rsidRPr="00EF7DCF" w:rsidRDefault="00C0288F">
            <w:pPr>
              <w:pStyle w:val="ImageCaption"/>
              <w:spacing w:before="200"/>
            </w:pPr>
            <w:bookmarkStart w:id="61" w:name="tbl-km-weibull-ch2"/>
            <w:r w:rsidRPr="00EF7DCF">
              <w:t>Table 12: Survival model fit summary (Weibull distribution)</w:t>
            </w:r>
          </w:p>
          <w:bookmarkEnd w:id="61"/>
          <w:p w14:paraId="2BCC5CC3" w14:textId="77777777" w:rsidR="007F58D0" w:rsidRPr="00EF7DCF" w:rsidRDefault="007F58D0"/>
        </w:tc>
      </w:tr>
    </w:tbl>
    <w:p w14:paraId="2BCC5CC5" w14:textId="77777777" w:rsidR="007F58D0" w:rsidRPr="00EF7DCF" w:rsidRDefault="00C0288F">
      <w:r w:rsidRPr="00EF7DCF">
        <w:br w:type="page"/>
      </w:r>
    </w:p>
    <w:p w14:paraId="2BCC5CC6" w14:textId="77777777" w:rsidR="007F58D0" w:rsidRPr="00EF7DCF" w:rsidRDefault="00C0288F">
      <w:pPr>
        <w:pStyle w:val="Heading4"/>
        <w:rPr>
          <w:color w:val="auto"/>
        </w:rPr>
      </w:pPr>
      <w:bookmarkStart w:id="62" w:name="log-normal-1"/>
      <w:bookmarkEnd w:id="59"/>
      <w:r w:rsidRPr="00EF7DCF">
        <w:rPr>
          <w:color w:val="auto"/>
        </w:rPr>
        <w:lastRenderedPageBreak/>
        <w:t>Log-normal</w:t>
      </w:r>
    </w:p>
    <w:tbl>
      <w:tblPr>
        <w:tblStyle w:val="Table"/>
        <w:tblW w:w="5000" w:type="pct"/>
        <w:tblLayout w:type="fixed"/>
        <w:tblLook w:val="0020" w:firstRow="1" w:lastRow="0" w:firstColumn="0" w:lastColumn="0" w:noHBand="0" w:noVBand="0"/>
      </w:tblPr>
      <w:tblGrid>
        <w:gridCol w:w="9360"/>
      </w:tblGrid>
      <w:tr w:rsidR="00EF7DCF" w:rsidRPr="00EF7DCF" w14:paraId="2BCC5CC9"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CC7" w14:textId="73AAC894" w:rsidR="007F58D0" w:rsidRPr="00EF7DCF" w:rsidRDefault="00C0288F">
            <w:pPr>
              <w:pStyle w:val="ImageCaption"/>
              <w:spacing w:before="200"/>
            </w:pPr>
            <w:bookmarkStart w:id="63" w:name="fig-km-log_normal-ch2"/>
            <w:r w:rsidRPr="00EF7DCF">
              <w:t>Figure 1</w:t>
            </w:r>
            <w:r w:rsidR="00B61FB8" w:rsidRPr="00EF7DCF">
              <w:t>8</w:t>
            </w:r>
            <w:r w:rsidRPr="00EF7DCF">
              <w:t>: Overall survival against log-normal survival function</w:t>
            </w:r>
          </w:p>
          <w:p w14:paraId="2BCC5CC8" w14:textId="77777777" w:rsidR="007F58D0" w:rsidRPr="00EF7DCF" w:rsidRDefault="00C0288F">
            <w:pPr>
              <w:pStyle w:val="Compact"/>
              <w:jc w:val="center"/>
            </w:pPr>
            <w:r w:rsidRPr="00EF7DCF">
              <w:rPr>
                <w:noProof/>
              </w:rPr>
              <w:drawing>
                <wp:inline distT="0" distB="0" distL="0" distR="0" wp14:anchorId="2BCC5DC1" wp14:editId="2BCC5DC2">
                  <wp:extent cx="4620126" cy="3696101"/>
                  <wp:effectExtent l="0" t="0" r="0" b="0"/>
                  <wp:docPr id="129" name="Picture" title="A Kaplan-Meier plot showing overall survival over time for individuals who have received trastuzumab emtansine (excluding individuals who subsequently received trastuzumab deruxtecan), with an overlaid log-normal model fit."/>
                  <wp:cNvGraphicFramePr/>
                  <a:graphic xmlns:a="http://schemas.openxmlformats.org/drawingml/2006/main">
                    <a:graphicData uri="http://schemas.openxmlformats.org/drawingml/2006/picture">
                      <pic:pic xmlns:pic="http://schemas.openxmlformats.org/drawingml/2006/picture">
                        <pic:nvPicPr>
                          <pic:cNvPr id="130" name="Picture" descr="ID5121_trast_derux_breast_cancer_monthly_ss_files/figure-docx/fig-km-log_normal-ch2-1.png"/>
                          <pic:cNvPicPr>
                            <a:picLocks noChangeAspect="1" noChangeArrowheads="1"/>
                          </pic:cNvPicPr>
                        </pic:nvPicPr>
                        <pic:blipFill>
                          <a:blip r:embed="rId28"/>
                          <a:stretch>
                            <a:fillRect/>
                          </a:stretch>
                        </pic:blipFill>
                        <pic:spPr bwMode="auto">
                          <a:xfrm>
                            <a:off x="0" y="0"/>
                            <a:ext cx="4620126" cy="3696101"/>
                          </a:xfrm>
                          <a:prstGeom prst="rect">
                            <a:avLst/>
                          </a:prstGeom>
                          <a:noFill/>
                          <a:ln w="9525">
                            <a:noFill/>
                            <a:headEnd/>
                            <a:tailEnd/>
                          </a:ln>
                        </pic:spPr>
                      </pic:pic>
                    </a:graphicData>
                  </a:graphic>
                </wp:inline>
              </w:drawing>
            </w:r>
          </w:p>
        </w:tc>
        <w:bookmarkEnd w:id="63"/>
      </w:tr>
    </w:tbl>
    <w:p w14:paraId="2BCC5CCA"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1282"/>
      </w:tblGrid>
      <w:tr w:rsidR="00EF7DCF" w:rsidRPr="00EF7DCF" w14:paraId="2BCC5CD0" w14:textId="77777777">
        <w:trPr>
          <w:cantSplit/>
          <w:tblHeader/>
          <w:jc w:val="center"/>
        </w:trPr>
        <w:tc>
          <w:tcPr>
            <w:tcW w:w="0" w:type="auto"/>
            <w:tcBorders>
              <w:top w:val="single" w:sz="16" w:space="0" w:color="D3D3D3"/>
              <w:left w:val="single" w:sz="0" w:space="0" w:color="D3D3D3"/>
              <w:bottom w:val="single" w:sz="16" w:space="0" w:color="D3D3D3"/>
            </w:tcBorders>
          </w:tcPr>
          <w:p w14:paraId="2BCC5CCB"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CCC"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CCD"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CCE" w14:textId="77777777" w:rsidR="007F58D0" w:rsidRPr="00EF7DCF" w:rsidRDefault="00C0288F">
            <w:pPr>
              <w:keepNext/>
              <w:spacing w:after="60"/>
              <w:jc w:val="right"/>
            </w:pPr>
            <w:r w:rsidRPr="00EF7DCF">
              <w:rPr>
                <w:rFonts w:ascii="Calibri" w:hAnsi="Calibri"/>
                <w:sz w:val="20"/>
              </w:rPr>
              <w:t>z</w:t>
            </w:r>
          </w:p>
        </w:tc>
        <w:tc>
          <w:tcPr>
            <w:tcW w:w="0" w:type="auto"/>
            <w:tcBorders>
              <w:top w:val="single" w:sz="16" w:space="0" w:color="D3D3D3"/>
              <w:bottom w:val="single" w:sz="16" w:space="0" w:color="D3D3D3"/>
              <w:right w:val="single" w:sz="0" w:space="0" w:color="D3D3D3"/>
            </w:tcBorders>
          </w:tcPr>
          <w:p w14:paraId="2BCC5CCF" w14:textId="77777777" w:rsidR="007F58D0" w:rsidRPr="00EF7DCF" w:rsidRDefault="00C0288F">
            <w:pPr>
              <w:keepNext/>
              <w:spacing w:after="60"/>
              <w:jc w:val="right"/>
            </w:pPr>
            <w:r w:rsidRPr="00EF7DCF">
              <w:rPr>
                <w:rFonts w:ascii="Calibri" w:hAnsi="Calibri"/>
                <w:sz w:val="20"/>
              </w:rPr>
              <w:t>p-value</w:t>
            </w:r>
          </w:p>
        </w:tc>
      </w:tr>
      <w:tr w:rsidR="00EF7DCF" w:rsidRPr="00EF7DCF" w14:paraId="2BCC5CD6"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CD1" w14:textId="77777777" w:rsidR="007F58D0" w:rsidRPr="00EF7DCF" w:rsidRDefault="00C0288F">
            <w:pPr>
              <w:keepNext/>
              <w:spacing w:after="60"/>
            </w:pPr>
            <w:r w:rsidRPr="00EF7DCF">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2BCC5CD2" w14:textId="77777777" w:rsidR="007F58D0" w:rsidRPr="00EF7DCF" w:rsidRDefault="00C0288F">
            <w:pPr>
              <w:keepNext/>
              <w:spacing w:after="60"/>
              <w:jc w:val="right"/>
            </w:pPr>
            <w:r w:rsidRPr="00EF7DCF">
              <w:rPr>
                <w:rFonts w:ascii="Calibri" w:hAnsi="Calibri"/>
                <w:sz w:val="20"/>
              </w:rPr>
              <w:t>2.855</w:t>
            </w:r>
          </w:p>
        </w:tc>
        <w:tc>
          <w:tcPr>
            <w:tcW w:w="0" w:type="auto"/>
            <w:tcBorders>
              <w:top w:val="single" w:sz="0" w:space="0" w:color="D3D3D3"/>
              <w:left w:val="single" w:sz="0" w:space="0" w:color="D3D3D3"/>
              <w:bottom w:val="single" w:sz="0" w:space="0" w:color="D3D3D3"/>
              <w:right w:val="single" w:sz="0" w:space="0" w:color="D3D3D3"/>
            </w:tcBorders>
          </w:tcPr>
          <w:p w14:paraId="2BCC5CD3" w14:textId="77777777" w:rsidR="007F58D0" w:rsidRPr="00EF7DCF" w:rsidRDefault="00C0288F">
            <w:pPr>
              <w:keepNext/>
              <w:spacing w:after="60"/>
              <w:jc w:val="right"/>
            </w:pPr>
            <w:r w:rsidRPr="00EF7DCF">
              <w:rPr>
                <w:rFonts w:ascii="Calibri" w:hAnsi="Calibri"/>
                <w:sz w:val="20"/>
              </w:rPr>
              <w:t>0.047</w:t>
            </w:r>
          </w:p>
        </w:tc>
        <w:tc>
          <w:tcPr>
            <w:tcW w:w="0" w:type="auto"/>
            <w:tcBorders>
              <w:top w:val="single" w:sz="0" w:space="0" w:color="D3D3D3"/>
              <w:left w:val="single" w:sz="0" w:space="0" w:color="D3D3D3"/>
              <w:bottom w:val="single" w:sz="0" w:space="0" w:color="D3D3D3"/>
              <w:right w:val="single" w:sz="0" w:space="0" w:color="D3D3D3"/>
            </w:tcBorders>
          </w:tcPr>
          <w:p w14:paraId="2BCC5CD4" w14:textId="77777777" w:rsidR="007F58D0" w:rsidRPr="00EF7DCF" w:rsidRDefault="00C0288F">
            <w:pPr>
              <w:keepNext/>
              <w:spacing w:after="60"/>
              <w:jc w:val="right"/>
            </w:pPr>
            <w:r w:rsidRPr="00EF7DCF">
              <w:rPr>
                <w:rFonts w:ascii="Calibri" w:hAnsi="Calibri"/>
                <w:sz w:val="20"/>
              </w:rPr>
              <w:t>61.195126</w:t>
            </w:r>
          </w:p>
        </w:tc>
        <w:tc>
          <w:tcPr>
            <w:tcW w:w="0" w:type="auto"/>
            <w:tcBorders>
              <w:top w:val="single" w:sz="0" w:space="0" w:color="D3D3D3"/>
              <w:left w:val="single" w:sz="0" w:space="0" w:color="D3D3D3"/>
              <w:bottom w:val="single" w:sz="0" w:space="0" w:color="D3D3D3"/>
              <w:right w:val="single" w:sz="0" w:space="0" w:color="D3D3D3"/>
            </w:tcBorders>
          </w:tcPr>
          <w:p w14:paraId="2BCC5CD5" w14:textId="77777777" w:rsidR="007F58D0" w:rsidRPr="00EF7DCF" w:rsidRDefault="00C0288F">
            <w:pPr>
              <w:keepNext/>
              <w:spacing w:after="60"/>
              <w:jc w:val="right"/>
            </w:pPr>
            <w:r w:rsidRPr="00EF7DCF">
              <w:rPr>
                <w:rFonts w:ascii="Calibri" w:hAnsi="Calibri"/>
                <w:sz w:val="20"/>
              </w:rPr>
              <w:t>0.000000e+00</w:t>
            </w:r>
          </w:p>
        </w:tc>
      </w:tr>
      <w:tr w:rsidR="00EF7DCF" w:rsidRPr="00EF7DCF" w14:paraId="2BCC5CDC"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CD7" w14:textId="77777777" w:rsidR="007F58D0" w:rsidRPr="00EF7DCF" w:rsidRDefault="00C0288F">
            <w:pPr>
              <w:keepNext/>
              <w:spacing w:after="60"/>
            </w:pPr>
            <w:r w:rsidRPr="00EF7DCF">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2BCC5CD8" w14:textId="77777777" w:rsidR="007F58D0" w:rsidRPr="00EF7DCF" w:rsidRDefault="00C0288F">
            <w:pPr>
              <w:keepNext/>
              <w:spacing w:after="60"/>
              <w:jc w:val="right"/>
            </w:pPr>
            <w:r w:rsidRPr="00EF7DCF">
              <w:rPr>
                <w:rFonts w:ascii="Calibri" w:hAnsi="Calibri"/>
                <w:sz w:val="20"/>
              </w:rPr>
              <w:t>0.240</w:t>
            </w:r>
          </w:p>
        </w:tc>
        <w:tc>
          <w:tcPr>
            <w:tcW w:w="0" w:type="auto"/>
            <w:tcBorders>
              <w:top w:val="single" w:sz="0" w:space="0" w:color="D3D3D3"/>
              <w:left w:val="single" w:sz="0" w:space="0" w:color="D3D3D3"/>
              <w:bottom w:val="single" w:sz="0" w:space="0" w:color="D3D3D3"/>
              <w:right w:val="single" w:sz="0" w:space="0" w:color="D3D3D3"/>
            </w:tcBorders>
          </w:tcPr>
          <w:p w14:paraId="2BCC5CD9" w14:textId="77777777" w:rsidR="007F58D0" w:rsidRPr="00EF7DCF" w:rsidRDefault="00C0288F">
            <w:pPr>
              <w:keepNext/>
              <w:spacing w:after="60"/>
              <w:jc w:val="right"/>
            </w:pPr>
            <w:r w:rsidRPr="00EF7DCF">
              <w:rPr>
                <w:rFonts w:ascii="Calibri" w:hAnsi="Calibri"/>
                <w:sz w:val="20"/>
              </w:rPr>
              <w:t>0.030</w:t>
            </w:r>
          </w:p>
        </w:tc>
        <w:tc>
          <w:tcPr>
            <w:tcW w:w="0" w:type="auto"/>
            <w:tcBorders>
              <w:top w:val="single" w:sz="0" w:space="0" w:color="D3D3D3"/>
              <w:left w:val="single" w:sz="0" w:space="0" w:color="D3D3D3"/>
              <w:bottom w:val="single" w:sz="0" w:space="0" w:color="D3D3D3"/>
              <w:right w:val="single" w:sz="0" w:space="0" w:color="D3D3D3"/>
            </w:tcBorders>
          </w:tcPr>
          <w:p w14:paraId="2BCC5CDA" w14:textId="77777777" w:rsidR="007F58D0" w:rsidRPr="00EF7DCF" w:rsidRDefault="00C0288F">
            <w:pPr>
              <w:keepNext/>
              <w:spacing w:after="60"/>
              <w:jc w:val="right"/>
            </w:pPr>
            <w:r w:rsidRPr="00EF7DCF">
              <w:rPr>
                <w:rFonts w:ascii="Calibri" w:hAnsi="Calibri"/>
                <w:sz w:val="20"/>
              </w:rPr>
              <w:t>8.105113</w:t>
            </w:r>
          </w:p>
        </w:tc>
        <w:tc>
          <w:tcPr>
            <w:tcW w:w="0" w:type="auto"/>
            <w:tcBorders>
              <w:top w:val="single" w:sz="0" w:space="0" w:color="D3D3D3"/>
              <w:left w:val="single" w:sz="0" w:space="0" w:color="D3D3D3"/>
              <w:bottom w:val="single" w:sz="0" w:space="0" w:color="D3D3D3"/>
              <w:right w:val="single" w:sz="0" w:space="0" w:color="D3D3D3"/>
            </w:tcBorders>
          </w:tcPr>
          <w:p w14:paraId="2BCC5CDB" w14:textId="77777777" w:rsidR="007F58D0" w:rsidRPr="00EF7DCF" w:rsidRDefault="00C0288F">
            <w:pPr>
              <w:keepNext/>
              <w:spacing w:after="60"/>
              <w:jc w:val="right"/>
            </w:pPr>
            <w:r w:rsidRPr="00EF7DCF">
              <w:rPr>
                <w:rFonts w:ascii="Calibri" w:hAnsi="Calibri"/>
                <w:sz w:val="20"/>
              </w:rPr>
              <w:t>5.269665e-16</w:t>
            </w:r>
          </w:p>
        </w:tc>
      </w:tr>
      <w:tr w:rsidR="00EF7DCF" w:rsidRPr="00EF7DCF" w14:paraId="2BCC5CDE" w14:textId="77777777">
        <w:trPr>
          <w:cantSplit/>
          <w:jc w:val="center"/>
        </w:trPr>
        <w:tc>
          <w:tcPr>
            <w:tcW w:w="0" w:type="auto"/>
            <w:gridSpan w:val="5"/>
          </w:tcPr>
          <w:p w14:paraId="2BCC5CDD" w14:textId="77777777" w:rsidR="007F58D0" w:rsidRPr="00EF7DCF" w:rsidRDefault="00C0288F">
            <w:pPr>
              <w:keepNext/>
              <w:spacing w:after="60"/>
            </w:pPr>
            <w:r w:rsidRPr="00EF7DCF">
              <w:rPr>
                <w:rFonts w:ascii="Calibri" w:hAnsi="Calibri"/>
                <w:sz w:val="20"/>
              </w:rPr>
              <w:t>log-likelihood = -2681.89117301945</w:t>
            </w:r>
          </w:p>
        </w:tc>
      </w:tr>
      <w:tr w:rsidR="00EF7DCF" w:rsidRPr="00EF7DCF" w14:paraId="2BCC5CE0" w14:textId="77777777">
        <w:trPr>
          <w:cantSplit/>
          <w:jc w:val="center"/>
        </w:trPr>
        <w:tc>
          <w:tcPr>
            <w:tcW w:w="0" w:type="auto"/>
            <w:gridSpan w:val="5"/>
          </w:tcPr>
          <w:p w14:paraId="2BCC5CDF" w14:textId="77777777" w:rsidR="007F58D0" w:rsidRPr="00EF7DCF" w:rsidRDefault="00C0288F">
            <w:pPr>
              <w:keepNext/>
              <w:spacing w:after="60"/>
            </w:pPr>
            <w:r w:rsidRPr="00EF7DCF">
              <w:rPr>
                <w:rFonts w:ascii="Calibri" w:hAnsi="Calibri"/>
                <w:sz w:val="20"/>
              </w:rPr>
              <w:t>AIC = 5367.7823460389</w:t>
            </w:r>
          </w:p>
        </w:tc>
      </w:tr>
      <w:tr w:rsidR="00EF7DCF" w:rsidRPr="00EF7DCF" w14:paraId="2BCC5CE2" w14:textId="77777777">
        <w:trPr>
          <w:cantSplit/>
          <w:jc w:val="center"/>
        </w:trPr>
        <w:tc>
          <w:tcPr>
            <w:tcW w:w="0" w:type="auto"/>
            <w:gridSpan w:val="5"/>
          </w:tcPr>
          <w:p w14:paraId="2BCC5CE1" w14:textId="77777777" w:rsidR="007F58D0" w:rsidRPr="00EF7DCF" w:rsidRDefault="00C0288F">
            <w:pPr>
              <w:keepNext/>
              <w:spacing w:after="60"/>
            </w:pPr>
            <w:r w:rsidRPr="00EF7DCF">
              <w:rPr>
                <w:rFonts w:ascii="Calibri" w:hAnsi="Calibri"/>
                <w:sz w:val="20"/>
              </w:rPr>
              <w:t>BIC = 5377.20095471941</w:t>
            </w:r>
          </w:p>
        </w:tc>
      </w:tr>
    </w:tbl>
    <w:tbl>
      <w:tblPr>
        <w:tblStyle w:val="Table"/>
        <w:tblW w:w="5000" w:type="pct"/>
        <w:tblLayout w:type="fixed"/>
        <w:tblLook w:val="0020" w:firstRow="1" w:lastRow="0" w:firstColumn="0" w:lastColumn="0" w:noHBand="0" w:noVBand="0"/>
      </w:tblPr>
      <w:tblGrid>
        <w:gridCol w:w="9360"/>
      </w:tblGrid>
      <w:tr w:rsidR="00EF7DCF" w:rsidRPr="00EF7DCF" w14:paraId="2BCC5CE7"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CE3" w14:textId="77777777" w:rsidR="007F58D0" w:rsidRPr="00EF7DCF" w:rsidRDefault="00C0288F">
            <w:pPr>
              <w:pStyle w:val="ImageCaption"/>
              <w:spacing w:before="200"/>
            </w:pPr>
            <w:bookmarkStart w:id="64" w:name="tbl-km-log_normal-ch2"/>
            <w:r w:rsidRPr="00EF7DCF">
              <w:t>Table 13: Survival model fit summary (log-normal distribution)</w:t>
            </w:r>
          </w:p>
          <w:bookmarkEnd w:id="64"/>
          <w:p w14:paraId="2BCC5CE6" w14:textId="77777777" w:rsidR="007F58D0" w:rsidRPr="00EF7DCF" w:rsidRDefault="007F58D0"/>
        </w:tc>
      </w:tr>
    </w:tbl>
    <w:p w14:paraId="2BCC5CE8" w14:textId="77777777" w:rsidR="007F58D0" w:rsidRPr="00EF7DCF" w:rsidRDefault="00C0288F">
      <w:r w:rsidRPr="00EF7DCF">
        <w:br w:type="page"/>
      </w:r>
    </w:p>
    <w:p w14:paraId="2BCC5CE9" w14:textId="77777777" w:rsidR="007F58D0" w:rsidRPr="00EF7DCF" w:rsidRDefault="00C0288F">
      <w:pPr>
        <w:pStyle w:val="Heading4"/>
        <w:rPr>
          <w:color w:val="auto"/>
        </w:rPr>
      </w:pPr>
      <w:bookmarkStart w:id="65" w:name="log-logistic-1"/>
      <w:bookmarkEnd w:id="62"/>
      <w:r w:rsidRPr="00EF7DCF">
        <w:rPr>
          <w:color w:val="auto"/>
        </w:rPr>
        <w:lastRenderedPageBreak/>
        <w:t>Log-logistic</w:t>
      </w:r>
    </w:p>
    <w:tbl>
      <w:tblPr>
        <w:tblStyle w:val="Table"/>
        <w:tblW w:w="5000" w:type="pct"/>
        <w:tblLayout w:type="fixed"/>
        <w:tblLook w:val="0020" w:firstRow="1" w:lastRow="0" w:firstColumn="0" w:lastColumn="0" w:noHBand="0" w:noVBand="0"/>
      </w:tblPr>
      <w:tblGrid>
        <w:gridCol w:w="9360"/>
      </w:tblGrid>
      <w:tr w:rsidR="00EF7DCF" w:rsidRPr="00EF7DCF" w14:paraId="2BCC5CEC"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CEA" w14:textId="4DDF42D8" w:rsidR="007F58D0" w:rsidRPr="00EF7DCF" w:rsidRDefault="00C0288F">
            <w:pPr>
              <w:pStyle w:val="ImageCaption"/>
              <w:spacing w:before="200"/>
            </w:pPr>
            <w:bookmarkStart w:id="66" w:name="fig-km-log_logistic-ch2"/>
            <w:r w:rsidRPr="00EF7DCF">
              <w:t>Figure 1</w:t>
            </w:r>
            <w:r w:rsidR="00B61FB8" w:rsidRPr="00EF7DCF">
              <w:t>9</w:t>
            </w:r>
            <w:r w:rsidRPr="00EF7DCF">
              <w:t>: Overall survival against log-logistic survival function</w:t>
            </w:r>
          </w:p>
          <w:p w14:paraId="2BCC5CEB" w14:textId="77777777" w:rsidR="007F58D0" w:rsidRPr="00EF7DCF" w:rsidRDefault="00C0288F">
            <w:pPr>
              <w:pStyle w:val="Compact"/>
              <w:jc w:val="center"/>
            </w:pPr>
            <w:r w:rsidRPr="00EF7DCF">
              <w:rPr>
                <w:noProof/>
              </w:rPr>
              <w:drawing>
                <wp:inline distT="0" distB="0" distL="0" distR="0" wp14:anchorId="2BCC5DC3" wp14:editId="2BCC5DC4">
                  <wp:extent cx="4620126" cy="3696101"/>
                  <wp:effectExtent l="0" t="0" r="0" b="0"/>
                  <wp:docPr id="135" name="Picture" title="A Kaplan-Meier plot showing overall survival over time for individuals who have received trastuzumab emtansine (excluding individuals who subsequently received trastuzumab deruxtecan), with an overlaid log-logistic model fit."/>
                  <wp:cNvGraphicFramePr/>
                  <a:graphic xmlns:a="http://schemas.openxmlformats.org/drawingml/2006/main">
                    <a:graphicData uri="http://schemas.openxmlformats.org/drawingml/2006/picture">
                      <pic:pic xmlns:pic="http://schemas.openxmlformats.org/drawingml/2006/picture">
                        <pic:nvPicPr>
                          <pic:cNvPr id="136" name="Picture" descr="ID5121_trast_derux_breast_cancer_monthly_ss_files/figure-docx/fig-km-log_logistic-ch2-1.png"/>
                          <pic:cNvPicPr>
                            <a:picLocks noChangeAspect="1" noChangeArrowheads="1"/>
                          </pic:cNvPicPr>
                        </pic:nvPicPr>
                        <pic:blipFill>
                          <a:blip r:embed="rId29"/>
                          <a:stretch>
                            <a:fillRect/>
                          </a:stretch>
                        </pic:blipFill>
                        <pic:spPr bwMode="auto">
                          <a:xfrm>
                            <a:off x="0" y="0"/>
                            <a:ext cx="4620126" cy="3696101"/>
                          </a:xfrm>
                          <a:prstGeom prst="rect">
                            <a:avLst/>
                          </a:prstGeom>
                          <a:noFill/>
                          <a:ln w="9525">
                            <a:noFill/>
                            <a:headEnd/>
                            <a:tailEnd/>
                          </a:ln>
                        </pic:spPr>
                      </pic:pic>
                    </a:graphicData>
                  </a:graphic>
                </wp:inline>
              </w:drawing>
            </w:r>
          </w:p>
        </w:tc>
        <w:bookmarkEnd w:id="66"/>
      </w:tr>
    </w:tbl>
    <w:p w14:paraId="2BCC5CED"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942"/>
        <w:gridCol w:w="1282"/>
      </w:tblGrid>
      <w:tr w:rsidR="00EF7DCF" w:rsidRPr="00EF7DCF" w14:paraId="2BCC5CF3" w14:textId="77777777">
        <w:trPr>
          <w:cantSplit/>
          <w:tblHeader/>
          <w:jc w:val="center"/>
        </w:trPr>
        <w:tc>
          <w:tcPr>
            <w:tcW w:w="0" w:type="auto"/>
            <w:tcBorders>
              <w:top w:val="single" w:sz="16" w:space="0" w:color="D3D3D3"/>
              <w:left w:val="single" w:sz="0" w:space="0" w:color="D3D3D3"/>
              <w:bottom w:val="single" w:sz="16" w:space="0" w:color="D3D3D3"/>
            </w:tcBorders>
          </w:tcPr>
          <w:p w14:paraId="2BCC5CEE"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CEF"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CF0"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CF1" w14:textId="77777777" w:rsidR="007F58D0" w:rsidRPr="00EF7DCF" w:rsidRDefault="00C0288F">
            <w:pPr>
              <w:keepNext/>
              <w:spacing w:after="60"/>
              <w:jc w:val="right"/>
            </w:pPr>
            <w:r w:rsidRPr="00EF7DCF">
              <w:rPr>
                <w:rFonts w:ascii="Calibri" w:hAnsi="Calibri"/>
                <w:sz w:val="20"/>
              </w:rPr>
              <w:t>z</w:t>
            </w:r>
          </w:p>
        </w:tc>
        <w:tc>
          <w:tcPr>
            <w:tcW w:w="0" w:type="auto"/>
            <w:tcBorders>
              <w:top w:val="single" w:sz="16" w:space="0" w:color="D3D3D3"/>
              <w:bottom w:val="single" w:sz="16" w:space="0" w:color="D3D3D3"/>
              <w:right w:val="single" w:sz="0" w:space="0" w:color="D3D3D3"/>
            </w:tcBorders>
          </w:tcPr>
          <w:p w14:paraId="2BCC5CF2" w14:textId="77777777" w:rsidR="007F58D0" w:rsidRPr="00EF7DCF" w:rsidRDefault="00C0288F">
            <w:pPr>
              <w:keepNext/>
              <w:spacing w:after="60"/>
              <w:jc w:val="right"/>
            </w:pPr>
            <w:r w:rsidRPr="00EF7DCF">
              <w:rPr>
                <w:rFonts w:ascii="Calibri" w:hAnsi="Calibri"/>
                <w:sz w:val="20"/>
              </w:rPr>
              <w:t>p-value</w:t>
            </w:r>
          </w:p>
        </w:tc>
      </w:tr>
      <w:tr w:rsidR="00EF7DCF" w:rsidRPr="00EF7DCF" w14:paraId="2BCC5CF9"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CF4" w14:textId="77777777" w:rsidR="007F58D0" w:rsidRPr="00EF7DCF" w:rsidRDefault="00C0288F">
            <w:pPr>
              <w:keepNext/>
              <w:spacing w:after="60"/>
            </w:pPr>
            <w:r w:rsidRPr="00EF7DCF">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2BCC5CF5" w14:textId="77777777" w:rsidR="007F58D0" w:rsidRPr="00EF7DCF" w:rsidRDefault="00C0288F">
            <w:pPr>
              <w:keepNext/>
              <w:spacing w:after="60"/>
              <w:jc w:val="right"/>
            </w:pPr>
            <w:r w:rsidRPr="00EF7DCF">
              <w:rPr>
                <w:rFonts w:ascii="Calibri" w:hAnsi="Calibri"/>
                <w:sz w:val="20"/>
              </w:rPr>
              <w:t>2.852</w:t>
            </w:r>
          </w:p>
        </w:tc>
        <w:tc>
          <w:tcPr>
            <w:tcW w:w="0" w:type="auto"/>
            <w:tcBorders>
              <w:top w:val="single" w:sz="0" w:space="0" w:color="D3D3D3"/>
              <w:left w:val="single" w:sz="0" w:space="0" w:color="D3D3D3"/>
              <w:bottom w:val="single" w:sz="0" w:space="0" w:color="D3D3D3"/>
              <w:right w:val="single" w:sz="0" w:space="0" w:color="D3D3D3"/>
            </w:tcBorders>
          </w:tcPr>
          <w:p w14:paraId="2BCC5CF6" w14:textId="77777777" w:rsidR="007F58D0" w:rsidRPr="00EF7DCF" w:rsidRDefault="00C0288F">
            <w:pPr>
              <w:keepNext/>
              <w:spacing w:after="60"/>
              <w:jc w:val="right"/>
            </w:pPr>
            <w:r w:rsidRPr="00EF7DCF">
              <w:rPr>
                <w:rFonts w:ascii="Calibri" w:hAnsi="Calibri"/>
                <w:sz w:val="20"/>
              </w:rPr>
              <w:t>0.044</w:t>
            </w:r>
          </w:p>
        </w:tc>
        <w:tc>
          <w:tcPr>
            <w:tcW w:w="0" w:type="auto"/>
            <w:tcBorders>
              <w:top w:val="single" w:sz="0" w:space="0" w:color="D3D3D3"/>
              <w:left w:val="single" w:sz="0" w:space="0" w:color="D3D3D3"/>
              <w:bottom w:val="single" w:sz="0" w:space="0" w:color="D3D3D3"/>
              <w:right w:val="single" w:sz="0" w:space="0" w:color="D3D3D3"/>
            </w:tcBorders>
          </w:tcPr>
          <w:p w14:paraId="2BCC5CF7" w14:textId="77777777" w:rsidR="007F58D0" w:rsidRPr="00EF7DCF" w:rsidRDefault="00C0288F">
            <w:pPr>
              <w:keepNext/>
              <w:spacing w:after="60"/>
              <w:jc w:val="right"/>
            </w:pPr>
            <w:r w:rsidRPr="00EF7DCF">
              <w:rPr>
                <w:rFonts w:ascii="Calibri" w:hAnsi="Calibri"/>
                <w:sz w:val="20"/>
              </w:rPr>
              <w:t>65.34991</w:t>
            </w:r>
          </w:p>
        </w:tc>
        <w:tc>
          <w:tcPr>
            <w:tcW w:w="0" w:type="auto"/>
            <w:tcBorders>
              <w:top w:val="single" w:sz="0" w:space="0" w:color="D3D3D3"/>
              <w:left w:val="single" w:sz="0" w:space="0" w:color="D3D3D3"/>
              <w:bottom w:val="single" w:sz="0" w:space="0" w:color="D3D3D3"/>
              <w:right w:val="single" w:sz="0" w:space="0" w:color="D3D3D3"/>
            </w:tcBorders>
          </w:tcPr>
          <w:p w14:paraId="2BCC5CF8" w14:textId="77777777" w:rsidR="007F58D0" w:rsidRPr="00EF7DCF" w:rsidRDefault="00C0288F">
            <w:pPr>
              <w:keepNext/>
              <w:spacing w:after="60"/>
              <w:jc w:val="right"/>
            </w:pPr>
            <w:r w:rsidRPr="00EF7DCF">
              <w:rPr>
                <w:rFonts w:ascii="Calibri" w:hAnsi="Calibri"/>
                <w:sz w:val="20"/>
              </w:rPr>
              <w:t>0.000000e+00</w:t>
            </w:r>
          </w:p>
        </w:tc>
      </w:tr>
      <w:tr w:rsidR="00EF7DCF" w:rsidRPr="00EF7DCF" w14:paraId="2BCC5CFF"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CFA" w14:textId="77777777" w:rsidR="007F58D0" w:rsidRPr="00EF7DCF" w:rsidRDefault="00C0288F">
            <w:pPr>
              <w:keepNext/>
              <w:spacing w:after="60"/>
            </w:pPr>
            <w:r w:rsidRPr="00EF7DCF">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2BCC5CFB" w14:textId="77777777" w:rsidR="007F58D0" w:rsidRPr="00EF7DCF" w:rsidRDefault="00C0288F">
            <w:pPr>
              <w:keepNext/>
              <w:spacing w:after="60"/>
              <w:jc w:val="right"/>
            </w:pPr>
            <w:r w:rsidRPr="00EF7DCF">
              <w:rPr>
                <w:rFonts w:ascii="Calibri" w:hAnsi="Calibri"/>
                <w:sz w:val="20"/>
              </w:rPr>
              <w:t>-0.346</w:t>
            </w:r>
          </w:p>
        </w:tc>
        <w:tc>
          <w:tcPr>
            <w:tcW w:w="0" w:type="auto"/>
            <w:tcBorders>
              <w:top w:val="single" w:sz="0" w:space="0" w:color="D3D3D3"/>
              <w:left w:val="single" w:sz="0" w:space="0" w:color="D3D3D3"/>
              <w:bottom w:val="single" w:sz="0" w:space="0" w:color="D3D3D3"/>
              <w:right w:val="single" w:sz="0" w:space="0" w:color="D3D3D3"/>
            </w:tcBorders>
          </w:tcPr>
          <w:p w14:paraId="2BCC5CFC" w14:textId="77777777" w:rsidR="007F58D0" w:rsidRPr="00EF7DCF" w:rsidRDefault="00C0288F">
            <w:pPr>
              <w:keepNext/>
              <w:spacing w:after="60"/>
              <w:jc w:val="right"/>
            </w:pPr>
            <w:r w:rsidRPr="00EF7DCF">
              <w:rPr>
                <w:rFonts w:ascii="Calibri" w:hAnsi="Calibri"/>
                <w:sz w:val="20"/>
              </w:rPr>
              <w:t>0.034</w:t>
            </w:r>
          </w:p>
        </w:tc>
        <w:tc>
          <w:tcPr>
            <w:tcW w:w="0" w:type="auto"/>
            <w:tcBorders>
              <w:top w:val="single" w:sz="0" w:space="0" w:color="D3D3D3"/>
              <w:left w:val="single" w:sz="0" w:space="0" w:color="D3D3D3"/>
              <w:bottom w:val="single" w:sz="0" w:space="0" w:color="D3D3D3"/>
              <w:right w:val="single" w:sz="0" w:space="0" w:color="D3D3D3"/>
            </w:tcBorders>
          </w:tcPr>
          <w:p w14:paraId="2BCC5CFD" w14:textId="77777777" w:rsidR="007F58D0" w:rsidRPr="00EF7DCF" w:rsidRDefault="00C0288F">
            <w:pPr>
              <w:keepNext/>
              <w:spacing w:after="60"/>
              <w:jc w:val="right"/>
            </w:pPr>
            <w:r w:rsidRPr="00EF7DCF">
              <w:rPr>
                <w:rFonts w:ascii="Calibri" w:hAnsi="Calibri"/>
                <w:sz w:val="20"/>
              </w:rPr>
              <w:t>-10.27964</w:t>
            </w:r>
          </w:p>
        </w:tc>
        <w:tc>
          <w:tcPr>
            <w:tcW w:w="0" w:type="auto"/>
            <w:tcBorders>
              <w:top w:val="single" w:sz="0" w:space="0" w:color="D3D3D3"/>
              <w:left w:val="single" w:sz="0" w:space="0" w:color="D3D3D3"/>
              <w:bottom w:val="single" w:sz="0" w:space="0" w:color="D3D3D3"/>
              <w:right w:val="single" w:sz="0" w:space="0" w:color="D3D3D3"/>
            </w:tcBorders>
          </w:tcPr>
          <w:p w14:paraId="2BCC5CFE" w14:textId="77777777" w:rsidR="007F58D0" w:rsidRPr="00EF7DCF" w:rsidRDefault="00C0288F">
            <w:pPr>
              <w:keepNext/>
              <w:spacing w:after="60"/>
              <w:jc w:val="right"/>
            </w:pPr>
            <w:r w:rsidRPr="00EF7DCF">
              <w:rPr>
                <w:rFonts w:ascii="Calibri" w:hAnsi="Calibri"/>
                <w:sz w:val="20"/>
              </w:rPr>
              <w:t>8.705396e-25</w:t>
            </w:r>
          </w:p>
        </w:tc>
      </w:tr>
      <w:tr w:rsidR="00EF7DCF" w:rsidRPr="00EF7DCF" w14:paraId="2BCC5D01" w14:textId="77777777">
        <w:trPr>
          <w:cantSplit/>
          <w:jc w:val="center"/>
        </w:trPr>
        <w:tc>
          <w:tcPr>
            <w:tcW w:w="0" w:type="auto"/>
            <w:gridSpan w:val="5"/>
          </w:tcPr>
          <w:p w14:paraId="2BCC5D00" w14:textId="77777777" w:rsidR="007F58D0" w:rsidRPr="00EF7DCF" w:rsidRDefault="00C0288F">
            <w:pPr>
              <w:keepNext/>
              <w:spacing w:after="60"/>
            </w:pPr>
            <w:r w:rsidRPr="00EF7DCF">
              <w:rPr>
                <w:rFonts w:ascii="Calibri" w:hAnsi="Calibri"/>
                <w:sz w:val="20"/>
              </w:rPr>
              <w:t>log-likelihood = -2666.97340000117</w:t>
            </w:r>
          </w:p>
        </w:tc>
      </w:tr>
      <w:tr w:rsidR="00EF7DCF" w:rsidRPr="00EF7DCF" w14:paraId="2BCC5D03" w14:textId="77777777">
        <w:trPr>
          <w:cantSplit/>
          <w:jc w:val="center"/>
        </w:trPr>
        <w:tc>
          <w:tcPr>
            <w:tcW w:w="0" w:type="auto"/>
            <w:gridSpan w:val="5"/>
          </w:tcPr>
          <w:p w14:paraId="2BCC5D02" w14:textId="77777777" w:rsidR="007F58D0" w:rsidRPr="00EF7DCF" w:rsidRDefault="00C0288F">
            <w:pPr>
              <w:keepNext/>
              <w:spacing w:after="60"/>
            </w:pPr>
            <w:r w:rsidRPr="00EF7DCF">
              <w:rPr>
                <w:rFonts w:ascii="Calibri" w:hAnsi="Calibri"/>
                <w:sz w:val="20"/>
              </w:rPr>
              <w:t>AIC = 5337.94680000235</w:t>
            </w:r>
          </w:p>
        </w:tc>
      </w:tr>
      <w:tr w:rsidR="00EF7DCF" w:rsidRPr="00EF7DCF" w14:paraId="2BCC5D05" w14:textId="77777777">
        <w:trPr>
          <w:cantSplit/>
          <w:jc w:val="center"/>
        </w:trPr>
        <w:tc>
          <w:tcPr>
            <w:tcW w:w="0" w:type="auto"/>
            <w:gridSpan w:val="5"/>
          </w:tcPr>
          <w:p w14:paraId="2BCC5D04" w14:textId="77777777" w:rsidR="007F58D0" w:rsidRPr="00EF7DCF" w:rsidRDefault="00C0288F">
            <w:pPr>
              <w:keepNext/>
              <w:spacing w:after="60"/>
            </w:pPr>
            <w:r w:rsidRPr="00EF7DCF">
              <w:rPr>
                <w:rFonts w:ascii="Calibri" w:hAnsi="Calibri"/>
                <w:sz w:val="20"/>
              </w:rPr>
              <w:t>BIC = 5347.36540868286</w:t>
            </w:r>
          </w:p>
        </w:tc>
      </w:tr>
    </w:tbl>
    <w:tbl>
      <w:tblPr>
        <w:tblStyle w:val="Table"/>
        <w:tblW w:w="5000" w:type="pct"/>
        <w:tblLayout w:type="fixed"/>
        <w:tblLook w:val="0020" w:firstRow="1" w:lastRow="0" w:firstColumn="0" w:lastColumn="0" w:noHBand="0" w:noVBand="0"/>
      </w:tblPr>
      <w:tblGrid>
        <w:gridCol w:w="9360"/>
      </w:tblGrid>
      <w:tr w:rsidR="00EF7DCF" w:rsidRPr="00EF7DCF" w14:paraId="2BCC5D0A"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D06" w14:textId="77777777" w:rsidR="007F58D0" w:rsidRPr="00EF7DCF" w:rsidRDefault="00C0288F">
            <w:pPr>
              <w:pStyle w:val="ImageCaption"/>
              <w:spacing w:before="200"/>
            </w:pPr>
            <w:bookmarkStart w:id="67" w:name="tbl-km-log_logistic-ch2"/>
            <w:r w:rsidRPr="00EF7DCF">
              <w:t>Table 14: Survival model fit summary (log-logistic distribution)</w:t>
            </w:r>
          </w:p>
          <w:bookmarkEnd w:id="67"/>
          <w:p w14:paraId="2BCC5D09" w14:textId="77777777" w:rsidR="007F58D0" w:rsidRPr="00EF7DCF" w:rsidRDefault="007F58D0"/>
        </w:tc>
      </w:tr>
    </w:tbl>
    <w:p w14:paraId="2BCC5D0B" w14:textId="77777777" w:rsidR="007F58D0" w:rsidRPr="00EF7DCF" w:rsidRDefault="00C0288F">
      <w:r w:rsidRPr="00EF7DCF">
        <w:br w:type="page"/>
      </w:r>
    </w:p>
    <w:p w14:paraId="2BCC5D0C" w14:textId="77777777" w:rsidR="007F58D0" w:rsidRPr="00EF7DCF" w:rsidRDefault="00C0288F">
      <w:pPr>
        <w:pStyle w:val="Heading4"/>
        <w:rPr>
          <w:color w:val="auto"/>
        </w:rPr>
      </w:pPr>
      <w:bookmarkStart w:id="68" w:name="gaussian-1"/>
      <w:bookmarkEnd w:id="65"/>
      <w:r w:rsidRPr="00EF7DCF">
        <w:rPr>
          <w:color w:val="auto"/>
        </w:rPr>
        <w:lastRenderedPageBreak/>
        <w:t>Gaussian</w:t>
      </w:r>
    </w:p>
    <w:tbl>
      <w:tblPr>
        <w:tblStyle w:val="Table"/>
        <w:tblW w:w="5000" w:type="pct"/>
        <w:tblLayout w:type="fixed"/>
        <w:tblLook w:val="0020" w:firstRow="1" w:lastRow="0" w:firstColumn="0" w:lastColumn="0" w:noHBand="0" w:noVBand="0"/>
      </w:tblPr>
      <w:tblGrid>
        <w:gridCol w:w="9360"/>
      </w:tblGrid>
      <w:tr w:rsidR="00EF7DCF" w:rsidRPr="00EF7DCF" w14:paraId="2BCC5D0F"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D0D" w14:textId="1145A5B8" w:rsidR="007F58D0" w:rsidRPr="00EF7DCF" w:rsidRDefault="00C0288F">
            <w:pPr>
              <w:pStyle w:val="ImageCaption"/>
              <w:spacing w:before="200"/>
            </w:pPr>
            <w:bookmarkStart w:id="69" w:name="fig-km-Gaussian-ch2"/>
            <w:r w:rsidRPr="00EF7DCF">
              <w:t>Figure </w:t>
            </w:r>
            <w:r w:rsidR="00B61FB8" w:rsidRPr="00EF7DCF">
              <w:t>20</w:t>
            </w:r>
            <w:r w:rsidRPr="00EF7DCF">
              <w:t>: Overall survival against Gaussian survival function</w:t>
            </w:r>
          </w:p>
          <w:p w14:paraId="2BCC5D0E" w14:textId="77777777" w:rsidR="007F58D0" w:rsidRPr="00EF7DCF" w:rsidRDefault="00C0288F">
            <w:pPr>
              <w:pStyle w:val="Compact"/>
              <w:jc w:val="center"/>
            </w:pPr>
            <w:r w:rsidRPr="00EF7DCF">
              <w:rPr>
                <w:noProof/>
              </w:rPr>
              <w:drawing>
                <wp:inline distT="0" distB="0" distL="0" distR="0" wp14:anchorId="2BCC5DC5" wp14:editId="2BCC5DC6">
                  <wp:extent cx="4620126" cy="3696101"/>
                  <wp:effectExtent l="0" t="0" r="0" b="0"/>
                  <wp:docPr id="141" name="Picture" title="A Kaplan-Meier plot showing overall survival over time for individuals who have received trastuzumab emtansine (excluding individuals who subsequently received trastuzumab deruxtecan), with an overlaid Gaussian model fit."/>
                  <wp:cNvGraphicFramePr/>
                  <a:graphic xmlns:a="http://schemas.openxmlformats.org/drawingml/2006/main">
                    <a:graphicData uri="http://schemas.openxmlformats.org/drawingml/2006/picture">
                      <pic:pic xmlns:pic="http://schemas.openxmlformats.org/drawingml/2006/picture">
                        <pic:nvPicPr>
                          <pic:cNvPr id="142" name="Picture" descr="ID5121_trast_derux_breast_cancer_monthly_ss_files/figure-docx/fig-km-Gaussian-ch2-1.png"/>
                          <pic:cNvPicPr>
                            <a:picLocks noChangeAspect="1" noChangeArrowheads="1"/>
                          </pic:cNvPicPr>
                        </pic:nvPicPr>
                        <pic:blipFill>
                          <a:blip r:embed="rId30"/>
                          <a:stretch>
                            <a:fillRect/>
                          </a:stretch>
                        </pic:blipFill>
                        <pic:spPr bwMode="auto">
                          <a:xfrm>
                            <a:off x="0" y="0"/>
                            <a:ext cx="4620126" cy="3696101"/>
                          </a:xfrm>
                          <a:prstGeom prst="rect">
                            <a:avLst/>
                          </a:prstGeom>
                          <a:noFill/>
                          <a:ln w="9525">
                            <a:noFill/>
                            <a:headEnd/>
                            <a:tailEnd/>
                          </a:ln>
                        </pic:spPr>
                      </pic:pic>
                    </a:graphicData>
                  </a:graphic>
                </wp:inline>
              </w:drawing>
            </w:r>
          </w:p>
        </w:tc>
        <w:bookmarkEnd w:id="69"/>
      </w:tr>
    </w:tbl>
    <w:p w14:paraId="2BCC5D10"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1345"/>
      </w:tblGrid>
      <w:tr w:rsidR="00EF7DCF" w:rsidRPr="00EF7DCF" w14:paraId="2BCC5D16" w14:textId="77777777">
        <w:trPr>
          <w:cantSplit/>
          <w:tblHeader/>
          <w:jc w:val="center"/>
        </w:trPr>
        <w:tc>
          <w:tcPr>
            <w:tcW w:w="0" w:type="auto"/>
            <w:tcBorders>
              <w:top w:val="single" w:sz="16" w:space="0" w:color="D3D3D3"/>
              <w:left w:val="single" w:sz="0" w:space="0" w:color="D3D3D3"/>
              <w:bottom w:val="single" w:sz="16" w:space="0" w:color="D3D3D3"/>
            </w:tcBorders>
          </w:tcPr>
          <w:p w14:paraId="2BCC5D11"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D12"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D13"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D14" w14:textId="77777777" w:rsidR="007F58D0" w:rsidRPr="00EF7DCF" w:rsidRDefault="00C0288F">
            <w:pPr>
              <w:keepNext/>
              <w:spacing w:after="60"/>
              <w:jc w:val="right"/>
            </w:pPr>
            <w:r w:rsidRPr="00EF7DCF">
              <w:rPr>
                <w:rFonts w:ascii="Calibri" w:hAnsi="Calibri"/>
                <w:sz w:val="20"/>
              </w:rPr>
              <w:t>z</w:t>
            </w:r>
          </w:p>
        </w:tc>
        <w:tc>
          <w:tcPr>
            <w:tcW w:w="0" w:type="auto"/>
            <w:tcBorders>
              <w:top w:val="single" w:sz="16" w:space="0" w:color="D3D3D3"/>
              <w:bottom w:val="single" w:sz="16" w:space="0" w:color="D3D3D3"/>
              <w:right w:val="single" w:sz="0" w:space="0" w:color="D3D3D3"/>
            </w:tcBorders>
          </w:tcPr>
          <w:p w14:paraId="2BCC5D15" w14:textId="77777777" w:rsidR="007F58D0" w:rsidRPr="00EF7DCF" w:rsidRDefault="00C0288F">
            <w:pPr>
              <w:keepNext/>
              <w:spacing w:after="60"/>
              <w:jc w:val="right"/>
            </w:pPr>
            <w:r w:rsidRPr="00EF7DCF">
              <w:rPr>
                <w:rFonts w:ascii="Calibri" w:hAnsi="Calibri"/>
                <w:sz w:val="20"/>
              </w:rPr>
              <w:t>p-value</w:t>
            </w:r>
          </w:p>
        </w:tc>
      </w:tr>
      <w:tr w:rsidR="00EF7DCF" w:rsidRPr="00EF7DCF" w14:paraId="2BCC5D1C"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D17" w14:textId="77777777" w:rsidR="007F58D0" w:rsidRPr="00EF7DCF" w:rsidRDefault="00C0288F">
            <w:pPr>
              <w:keepNext/>
              <w:spacing w:after="60"/>
            </w:pPr>
            <w:r w:rsidRPr="00EF7DCF">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2BCC5D18" w14:textId="77777777" w:rsidR="007F58D0" w:rsidRPr="00EF7DCF" w:rsidRDefault="00C0288F">
            <w:pPr>
              <w:keepNext/>
              <w:spacing w:after="60"/>
              <w:jc w:val="right"/>
            </w:pPr>
            <w:r w:rsidRPr="00EF7DCF">
              <w:rPr>
                <w:rFonts w:ascii="Calibri" w:hAnsi="Calibri"/>
                <w:sz w:val="20"/>
              </w:rPr>
              <w:t>25.611</w:t>
            </w:r>
          </w:p>
        </w:tc>
        <w:tc>
          <w:tcPr>
            <w:tcW w:w="0" w:type="auto"/>
            <w:tcBorders>
              <w:top w:val="single" w:sz="0" w:space="0" w:color="D3D3D3"/>
              <w:left w:val="single" w:sz="0" w:space="0" w:color="D3D3D3"/>
              <w:bottom w:val="single" w:sz="0" w:space="0" w:color="D3D3D3"/>
              <w:right w:val="single" w:sz="0" w:space="0" w:color="D3D3D3"/>
            </w:tcBorders>
          </w:tcPr>
          <w:p w14:paraId="2BCC5D19" w14:textId="77777777" w:rsidR="007F58D0" w:rsidRPr="00EF7DCF" w:rsidRDefault="00C0288F">
            <w:pPr>
              <w:keepNext/>
              <w:spacing w:after="60"/>
              <w:jc w:val="right"/>
            </w:pPr>
            <w:r w:rsidRPr="00EF7DCF">
              <w:rPr>
                <w:rFonts w:ascii="Calibri" w:hAnsi="Calibri"/>
                <w:sz w:val="20"/>
              </w:rPr>
              <w:t>0.859</w:t>
            </w:r>
          </w:p>
        </w:tc>
        <w:tc>
          <w:tcPr>
            <w:tcW w:w="0" w:type="auto"/>
            <w:tcBorders>
              <w:top w:val="single" w:sz="0" w:space="0" w:color="D3D3D3"/>
              <w:left w:val="single" w:sz="0" w:space="0" w:color="D3D3D3"/>
              <w:bottom w:val="single" w:sz="0" w:space="0" w:color="D3D3D3"/>
              <w:right w:val="single" w:sz="0" w:space="0" w:color="D3D3D3"/>
            </w:tcBorders>
          </w:tcPr>
          <w:p w14:paraId="2BCC5D1A" w14:textId="77777777" w:rsidR="007F58D0" w:rsidRPr="00EF7DCF" w:rsidRDefault="00C0288F">
            <w:pPr>
              <w:keepNext/>
              <w:spacing w:after="60"/>
              <w:jc w:val="right"/>
            </w:pPr>
            <w:r w:rsidRPr="00EF7DCF">
              <w:rPr>
                <w:rFonts w:ascii="Calibri" w:hAnsi="Calibri"/>
                <w:sz w:val="20"/>
              </w:rPr>
              <w:t>29.82445</w:t>
            </w:r>
          </w:p>
        </w:tc>
        <w:tc>
          <w:tcPr>
            <w:tcW w:w="0" w:type="auto"/>
            <w:tcBorders>
              <w:top w:val="single" w:sz="0" w:space="0" w:color="D3D3D3"/>
              <w:left w:val="single" w:sz="0" w:space="0" w:color="D3D3D3"/>
              <w:bottom w:val="single" w:sz="0" w:space="0" w:color="D3D3D3"/>
              <w:right w:val="single" w:sz="0" w:space="0" w:color="D3D3D3"/>
            </w:tcBorders>
          </w:tcPr>
          <w:p w14:paraId="2BCC5D1B" w14:textId="77777777" w:rsidR="007F58D0" w:rsidRPr="00EF7DCF" w:rsidRDefault="00C0288F">
            <w:pPr>
              <w:keepNext/>
              <w:spacing w:after="60"/>
              <w:jc w:val="right"/>
            </w:pPr>
            <w:r w:rsidRPr="00EF7DCF">
              <w:rPr>
                <w:rFonts w:ascii="Calibri" w:hAnsi="Calibri"/>
                <w:sz w:val="20"/>
              </w:rPr>
              <w:t>1.883332e-195</w:t>
            </w:r>
          </w:p>
        </w:tc>
      </w:tr>
      <w:tr w:rsidR="00EF7DCF" w:rsidRPr="00EF7DCF" w14:paraId="2BCC5D22"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D1D" w14:textId="77777777" w:rsidR="007F58D0" w:rsidRPr="00EF7DCF" w:rsidRDefault="00C0288F">
            <w:pPr>
              <w:keepNext/>
              <w:spacing w:after="60"/>
            </w:pPr>
            <w:r w:rsidRPr="00EF7DCF">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2BCC5D1E" w14:textId="77777777" w:rsidR="007F58D0" w:rsidRPr="00EF7DCF" w:rsidRDefault="00C0288F">
            <w:pPr>
              <w:keepNext/>
              <w:spacing w:after="60"/>
              <w:jc w:val="right"/>
            </w:pPr>
            <w:r w:rsidRPr="00EF7DCF">
              <w:rPr>
                <w:rFonts w:ascii="Calibri" w:hAnsi="Calibri"/>
                <w:sz w:val="20"/>
              </w:rPr>
              <w:t>3.153</w:t>
            </w:r>
          </w:p>
        </w:tc>
        <w:tc>
          <w:tcPr>
            <w:tcW w:w="0" w:type="auto"/>
            <w:tcBorders>
              <w:top w:val="single" w:sz="0" w:space="0" w:color="D3D3D3"/>
              <w:left w:val="single" w:sz="0" w:space="0" w:color="D3D3D3"/>
              <w:bottom w:val="single" w:sz="0" w:space="0" w:color="D3D3D3"/>
              <w:right w:val="single" w:sz="0" w:space="0" w:color="D3D3D3"/>
            </w:tcBorders>
          </w:tcPr>
          <w:p w14:paraId="2BCC5D1F" w14:textId="77777777" w:rsidR="007F58D0" w:rsidRPr="00EF7DCF" w:rsidRDefault="00C0288F">
            <w:pPr>
              <w:keepNext/>
              <w:spacing w:after="60"/>
              <w:jc w:val="right"/>
            </w:pPr>
            <w:r w:rsidRPr="00EF7DCF">
              <w:rPr>
                <w:rFonts w:ascii="Calibri" w:hAnsi="Calibri"/>
                <w:sz w:val="20"/>
              </w:rPr>
              <w:t>0.030</w:t>
            </w:r>
          </w:p>
        </w:tc>
        <w:tc>
          <w:tcPr>
            <w:tcW w:w="0" w:type="auto"/>
            <w:tcBorders>
              <w:top w:val="single" w:sz="0" w:space="0" w:color="D3D3D3"/>
              <w:left w:val="single" w:sz="0" w:space="0" w:color="D3D3D3"/>
              <w:bottom w:val="single" w:sz="0" w:space="0" w:color="D3D3D3"/>
              <w:right w:val="single" w:sz="0" w:space="0" w:color="D3D3D3"/>
            </w:tcBorders>
          </w:tcPr>
          <w:p w14:paraId="2BCC5D20" w14:textId="77777777" w:rsidR="007F58D0" w:rsidRPr="00EF7DCF" w:rsidRDefault="00C0288F">
            <w:pPr>
              <w:keepNext/>
              <w:spacing w:after="60"/>
              <w:jc w:val="right"/>
            </w:pPr>
            <w:r w:rsidRPr="00EF7DCF">
              <w:rPr>
                <w:rFonts w:ascii="Calibri" w:hAnsi="Calibri"/>
                <w:sz w:val="20"/>
              </w:rPr>
              <w:t>106.46800</w:t>
            </w:r>
          </w:p>
        </w:tc>
        <w:tc>
          <w:tcPr>
            <w:tcW w:w="0" w:type="auto"/>
            <w:tcBorders>
              <w:top w:val="single" w:sz="0" w:space="0" w:color="D3D3D3"/>
              <w:left w:val="single" w:sz="0" w:space="0" w:color="D3D3D3"/>
              <w:bottom w:val="single" w:sz="0" w:space="0" w:color="D3D3D3"/>
              <w:right w:val="single" w:sz="0" w:space="0" w:color="D3D3D3"/>
            </w:tcBorders>
          </w:tcPr>
          <w:p w14:paraId="2BCC5D21" w14:textId="77777777" w:rsidR="007F58D0" w:rsidRPr="00EF7DCF" w:rsidRDefault="00C0288F">
            <w:pPr>
              <w:keepNext/>
              <w:spacing w:after="60"/>
              <w:jc w:val="right"/>
            </w:pPr>
            <w:r w:rsidRPr="00EF7DCF">
              <w:rPr>
                <w:rFonts w:ascii="Calibri" w:hAnsi="Calibri"/>
                <w:sz w:val="20"/>
              </w:rPr>
              <w:t>0.000000e+00</w:t>
            </w:r>
          </w:p>
        </w:tc>
      </w:tr>
      <w:tr w:rsidR="00EF7DCF" w:rsidRPr="00EF7DCF" w14:paraId="2BCC5D24" w14:textId="77777777">
        <w:trPr>
          <w:cantSplit/>
          <w:jc w:val="center"/>
        </w:trPr>
        <w:tc>
          <w:tcPr>
            <w:tcW w:w="0" w:type="auto"/>
            <w:gridSpan w:val="5"/>
          </w:tcPr>
          <w:p w14:paraId="2BCC5D23" w14:textId="77777777" w:rsidR="007F58D0" w:rsidRPr="00EF7DCF" w:rsidRDefault="00C0288F">
            <w:pPr>
              <w:keepNext/>
              <w:spacing w:after="60"/>
            </w:pPr>
            <w:r w:rsidRPr="00EF7DCF">
              <w:rPr>
                <w:rFonts w:ascii="Calibri" w:hAnsi="Calibri"/>
                <w:sz w:val="20"/>
              </w:rPr>
              <w:t>log-likelihood = -3015.70483763384</w:t>
            </w:r>
          </w:p>
        </w:tc>
      </w:tr>
      <w:tr w:rsidR="00EF7DCF" w:rsidRPr="00EF7DCF" w14:paraId="2BCC5D26" w14:textId="77777777">
        <w:trPr>
          <w:cantSplit/>
          <w:jc w:val="center"/>
        </w:trPr>
        <w:tc>
          <w:tcPr>
            <w:tcW w:w="0" w:type="auto"/>
            <w:gridSpan w:val="5"/>
          </w:tcPr>
          <w:p w14:paraId="2BCC5D25" w14:textId="77777777" w:rsidR="007F58D0" w:rsidRPr="00EF7DCF" w:rsidRDefault="00C0288F">
            <w:pPr>
              <w:keepNext/>
              <w:spacing w:after="60"/>
            </w:pPr>
            <w:r w:rsidRPr="00EF7DCF">
              <w:rPr>
                <w:rFonts w:ascii="Calibri" w:hAnsi="Calibri"/>
                <w:sz w:val="20"/>
              </w:rPr>
              <w:t>AIC = 6035.40967526769</w:t>
            </w:r>
          </w:p>
        </w:tc>
      </w:tr>
      <w:tr w:rsidR="00EF7DCF" w:rsidRPr="00EF7DCF" w14:paraId="2BCC5D28" w14:textId="77777777">
        <w:trPr>
          <w:cantSplit/>
          <w:jc w:val="center"/>
        </w:trPr>
        <w:tc>
          <w:tcPr>
            <w:tcW w:w="0" w:type="auto"/>
            <w:gridSpan w:val="5"/>
          </w:tcPr>
          <w:p w14:paraId="2BCC5D27" w14:textId="77777777" w:rsidR="007F58D0" w:rsidRPr="00EF7DCF" w:rsidRDefault="00C0288F">
            <w:pPr>
              <w:keepNext/>
              <w:spacing w:after="60"/>
            </w:pPr>
            <w:r w:rsidRPr="00EF7DCF">
              <w:rPr>
                <w:rFonts w:ascii="Calibri" w:hAnsi="Calibri"/>
                <w:sz w:val="20"/>
              </w:rPr>
              <w:t>BIC = 6044.8282839482</w:t>
            </w:r>
          </w:p>
        </w:tc>
      </w:tr>
    </w:tbl>
    <w:tbl>
      <w:tblPr>
        <w:tblStyle w:val="Table"/>
        <w:tblW w:w="5000" w:type="pct"/>
        <w:tblLayout w:type="fixed"/>
        <w:tblLook w:val="0020" w:firstRow="1" w:lastRow="0" w:firstColumn="0" w:lastColumn="0" w:noHBand="0" w:noVBand="0"/>
      </w:tblPr>
      <w:tblGrid>
        <w:gridCol w:w="9360"/>
      </w:tblGrid>
      <w:tr w:rsidR="00EF7DCF" w:rsidRPr="00EF7DCF" w14:paraId="2BCC5D2D"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D29" w14:textId="77777777" w:rsidR="007F58D0" w:rsidRPr="00EF7DCF" w:rsidRDefault="00C0288F">
            <w:pPr>
              <w:pStyle w:val="ImageCaption"/>
              <w:spacing w:before="200"/>
            </w:pPr>
            <w:bookmarkStart w:id="70" w:name="tbl-km-Gaussian-ch2"/>
            <w:r w:rsidRPr="00EF7DCF">
              <w:t>Table 15: Survival model fit summary (Gaussian distribution)</w:t>
            </w:r>
          </w:p>
          <w:bookmarkEnd w:id="70"/>
          <w:p w14:paraId="2BCC5D2C" w14:textId="77777777" w:rsidR="007F58D0" w:rsidRPr="00EF7DCF" w:rsidRDefault="007F58D0"/>
        </w:tc>
      </w:tr>
    </w:tbl>
    <w:p w14:paraId="2BCC5D2E" w14:textId="77777777" w:rsidR="007F58D0" w:rsidRPr="00EF7DCF" w:rsidRDefault="00C0288F">
      <w:r w:rsidRPr="00EF7DCF">
        <w:br w:type="page"/>
      </w:r>
    </w:p>
    <w:p w14:paraId="2BCC5D2F" w14:textId="77777777" w:rsidR="007F58D0" w:rsidRPr="00EF7DCF" w:rsidRDefault="00C0288F">
      <w:pPr>
        <w:pStyle w:val="Heading4"/>
        <w:rPr>
          <w:color w:val="auto"/>
        </w:rPr>
      </w:pPr>
      <w:bookmarkStart w:id="71" w:name="gamma-1"/>
      <w:bookmarkEnd w:id="68"/>
      <w:r w:rsidRPr="00EF7DCF">
        <w:rPr>
          <w:color w:val="auto"/>
        </w:rPr>
        <w:lastRenderedPageBreak/>
        <w:t>Gamma</w:t>
      </w:r>
    </w:p>
    <w:tbl>
      <w:tblPr>
        <w:tblStyle w:val="Table"/>
        <w:tblW w:w="5000" w:type="pct"/>
        <w:tblLayout w:type="fixed"/>
        <w:tblLook w:val="0020" w:firstRow="1" w:lastRow="0" w:firstColumn="0" w:lastColumn="0" w:noHBand="0" w:noVBand="0"/>
      </w:tblPr>
      <w:tblGrid>
        <w:gridCol w:w="9360"/>
      </w:tblGrid>
      <w:tr w:rsidR="00EF7DCF" w:rsidRPr="00EF7DCF" w14:paraId="2BCC5D32"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D30" w14:textId="02AFC646" w:rsidR="007F58D0" w:rsidRPr="00EF7DCF" w:rsidRDefault="00C0288F">
            <w:pPr>
              <w:pStyle w:val="ImageCaption"/>
              <w:spacing w:before="200"/>
            </w:pPr>
            <w:bookmarkStart w:id="72" w:name="fig-km-gamma-ch2"/>
            <w:r w:rsidRPr="00EF7DCF">
              <w:t>Figure </w:t>
            </w:r>
            <w:r w:rsidR="00B61FB8" w:rsidRPr="00EF7DCF">
              <w:t>21</w:t>
            </w:r>
            <w:r w:rsidRPr="00EF7DCF">
              <w:t>: Overall survival against gamma survival function</w:t>
            </w:r>
          </w:p>
          <w:p w14:paraId="2BCC5D31" w14:textId="77777777" w:rsidR="007F58D0" w:rsidRPr="00EF7DCF" w:rsidRDefault="00C0288F">
            <w:pPr>
              <w:pStyle w:val="Compact"/>
              <w:jc w:val="center"/>
            </w:pPr>
            <w:r w:rsidRPr="00EF7DCF">
              <w:rPr>
                <w:noProof/>
              </w:rPr>
              <w:drawing>
                <wp:inline distT="0" distB="0" distL="0" distR="0" wp14:anchorId="2BCC5DC7" wp14:editId="2BCC5DC8">
                  <wp:extent cx="4620126" cy="3696101"/>
                  <wp:effectExtent l="0" t="0" r="0" b="0"/>
                  <wp:docPr id="147" name="Picture" title="A Kaplan-Meier plot showing overall survival over time for individuals who have received trastuzumab emtansine (excluding individuals who subsequently received trastuzumab deruxtecan), with an overlaid gamma model fit."/>
                  <wp:cNvGraphicFramePr/>
                  <a:graphic xmlns:a="http://schemas.openxmlformats.org/drawingml/2006/main">
                    <a:graphicData uri="http://schemas.openxmlformats.org/drawingml/2006/picture">
                      <pic:pic xmlns:pic="http://schemas.openxmlformats.org/drawingml/2006/picture">
                        <pic:nvPicPr>
                          <pic:cNvPr id="148" name="Picture" descr="ID5121_trast_derux_breast_cancer_monthly_ss_files/figure-docx/fig-km-gamma-ch2-1.png"/>
                          <pic:cNvPicPr>
                            <a:picLocks noChangeAspect="1" noChangeArrowheads="1"/>
                          </pic:cNvPicPr>
                        </pic:nvPicPr>
                        <pic:blipFill>
                          <a:blip r:embed="rId31"/>
                          <a:stretch>
                            <a:fillRect/>
                          </a:stretch>
                        </pic:blipFill>
                        <pic:spPr bwMode="auto">
                          <a:xfrm>
                            <a:off x="0" y="0"/>
                            <a:ext cx="4620126" cy="3696101"/>
                          </a:xfrm>
                          <a:prstGeom prst="rect">
                            <a:avLst/>
                          </a:prstGeom>
                          <a:noFill/>
                          <a:ln w="9525">
                            <a:noFill/>
                            <a:headEnd/>
                            <a:tailEnd/>
                          </a:ln>
                        </pic:spPr>
                      </pic:pic>
                    </a:graphicData>
                  </a:graphic>
                </wp:inline>
              </w:drawing>
            </w:r>
          </w:p>
        </w:tc>
        <w:bookmarkEnd w:id="72"/>
      </w:tr>
    </w:tbl>
    <w:p w14:paraId="2BCC5D33"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81"/>
        <w:gridCol w:w="831"/>
        <w:gridCol w:w="892"/>
        <w:gridCol w:w="1083"/>
        <w:gridCol w:w="1083"/>
      </w:tblGrid>
      <w:tr w:rsidR="00EF7DCF" w:rsidRPr="00EF7DCF" w14:paraId="2BCC5D39" w14:textId="77777777">
        <w:trPr>
          <w:cantSplit/>
          <w:tblHeader/>
          <w:jc w:val="center"/>
        </w:trPr>
        <w:tc>
          <w:tcPr>
            <w:tcW w:w="0" w:type="auto"/>
            <w:tcBorders>
              <w:top w:val="single" w:sz="16" w:space="0" w:color="D3D3D3"/>
              <w:left w:val="single" w:sz="0" w:space="0" w:color="D3D3D3"/>
              <w:bottom w:val="single" w:sz="16" w:space="0" w:color="D3D3D3"/>
            </w:tcBorders>
          </w:tcPr>
          <w:p w14:paraId="2BCC5D34"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D35"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D36"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D37" w14:textId="77777777" w:rsidR="007F58D0" w:rsidRPr="00EF7DCF" w:rsidRDefault="00C0288F">
            <w:pPr>
              <w:keepNext/>
              <w:spacing w:after="60"/>
              <w:jc w:val="right"/>
            </w:pPr>
            <w:r w:rsidRPr="00EF7DCF">
              <w:rPr>
                <w:rFonts w:ascii="Calibri" w:hAnsi="Calibri"/>
                <w:sz w:val="20"/>
              </w:rPr>
              <w:t>L95.</w:t>
            </w:r>
          </w:p>
        </w:tc>
        <w:tc>
          <w:tcPr>
            <w:tcW w:w="0" w:type="auto"/>
            <w:tcBorders>
              <w:top w:val="single" w:sz="16" w:space="0" w:color="D3D3D3"/>
              <w:bottom w:val="single" w:sz="16" w:space="0" w:color="D3D3D3"/>
              <w:right w:val="single" w:sz="0" w:space="0" w:color="D3D3D3"/>
            </w:tcBorders>
          </w:tcPr>
          <w:p w14:paraId="2BCC5D38" w14:textId="77777777" w:rsidR="007F58D0" w:rsidRPr="00EF7DCF" w:rsidRDefault="00C0288F">
            <w:pPr>
              <w:keepNext/>
              <w:spacing w:after="60"/>
              <w:jc w:val="right"/>
            </w:pPr>
            <w:r w:rsidRPr="00EF7DCF">
              <w:rPr>
                <w:rFonts w:ascii="Calibri" w:hAnsi="Calibri"/>
                <w:sz w:val="20"/>
              </w:rPr>
              <w:t>U95.</w:t>
            </w:r>
          </w:p>
        </w:tc>
      </w:tr>
      <w:tr w:rsidR="00EF7DCF" w:rsidRPr="00EF7DCF" w14:paraId="2BCC5D3F"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D3A" w14:textId="77777777" w:rsidR="007F58D0" w:rsidRPr="00EF7DCF" w:rsidRDefault="00C0288F">
            <w:pPr>
              <w:keepNext/>
              <w:spacing w:after="60"/>
            </w:pPr>
            <w:r w:rsidRPr="00EF7DCF">
              <w:rPr>
                <w:rFonts w:ascii="Calibri" w:hAnsi="Calibri"/>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2BCC5D3B" w14:textId="77777777" w:rsidR="007F58D0" w:rsidRPr="00EF7DCF" w:rsidRDefault="00C0288F">
            <w:pPr>
              <w:keepNext/>
              <w:spacing w:after="60"/>
              <w:jc w:val="right"/>
            </w:pPr>
            <w:r w:rsidRPr="00EF7DCF">
              <w:rPr>
                <w:rFonts w:ascii="Calibri" w:hAnsi="Calibri"/>
                <w:sz w:val="20"/>
              </w:rPr>
              <w:t>1.031</w:t>
            </w:r>
          </w:p>
        </w:tc>
        <w:tc>
          <w:tcPr>
            <w:tcW w:w="0" w:type="auto"/>
            <w:tcBorders>
              <w:top w:val="single" w:sz="0" w:space="0" w:color="D3D3D3"/>
              <w:left w:val="single" w:sz="0" w:space="0" w:color="D3D3D3"/>
              <w:bottom w:val="single" w:sz="0" w:space="0" w:color="D3D3D3"/>
              <w:right w:val="single" w:sz="0" w:space="0" w:color="D3D3D3"/>
            </w:tcBorders>
          </w:tcPr>
          <w:p w14:paraId="2BCC5D3C" w14:textId="77777777" w:rsidR="007F58D0" w:rsidRPr="00EF7DCF" w:rsidRDefault="00C0288F">
            <w:pPr>
              <w:keepNext/>
              <w:spacing w:after="60"/>
              <w:jc w:val="right"/>
            </w:pPr>
            <w:r w:rsidRPr="00EF7DCF">
              <w:rPr>
                <w:rFonts w:ascii="Calibri" w:hAnsi="Calibri"/>
                <w:sz w:val="20"/>
              </w:rPr>
              <w:t>0.050</w:t>
            </w:r>
          </w:p>
        </w:tc>
        <w:tc>
          <w:tcPr>
            <w:tcW w:w="0" w:type="auto"/>
            <w:tcBorders>
              <w:top w:val="single" w:sz="0" w:space="0" w:color="D3D3D3"/>
              <w:left w:val="single" w:sz="0" w:space="0" w:color="D3D3D3"/>
              <w:bottom w:val="single" w:sz="0" w:space="0" w:color="D3D3D3"/>
              <w:right w:val="single" w:sz="0" w:space="0" w:color="D3D3D3"/>
            </w:tcBorders>
          </w:tcPr>
          <w:p w14:paraId="2BCC5D3D" w14:textId="77777777" w:rsidR="007F58D0" w:rsidRPr="00EF7DCF" w:rsidRDefault="00C0288F">
            <w:pPr>
              <w:keepNext/>
              <w:spacing w:after="60"/>
              <w:jc w:val="right"/>
            </w:pPr>
            <w:r w:rsidRPr="00EF7DCF">
              <w:rPr>
                <w:rFonts w:ascii="Calibri" w:hAnsi="Calibri"/>
                <w:sz w:val="20"/>
              </w:rPr>
              <w:t>0.93728674</w:t>
            </w:r>
          </w:p>
        </w:tc>
        <w:tc>
          <w:tcPr>
            <w:tcW w:w="0" w:type="auto"/>
            <w:tcBorders>
              <w:top w:val="single" w:sz="0" w:space="0" w:color="D3D3D3"/>
              <w:left w:val="single" w:sz="0" w:space="0" w:color="D3D3D3"/>
              <w:bottom w:val="single" w:sz="0" w:space="0" w:color="D3D3D3"/>
              <w:right w:val="single" w:sz="0" w:space="0" w:color="D3D3D3"/>
            </w:tcBorders>
          </w:tcPr>
          <w:p w14:paraId="2BCC5D3E" w14:textId="77777777" w:rsidR="007F58D0" w:rsidRPr="00EF7DCF" w:rsidRDefault="00C0288F">
            <w:pPr>
              <w:keepNext/>
              <w:spacing w:after="60"/>
              <w:jc w:val="right"/>
            </w:pPr>
            <w:r w:rsidRPr="00EF7DCF">
              <w:rPr>
                <w:rFonts w:ascii="Calibri" w:hAnsi="Calibri"/>
                <w:sz w:val="20"/>
              </w:rPr>
              <w:t>1.13501245</w:t>
            </w:r>
          </w:p>
        </w:tc>
      </w:tr>
      <w:tr w:rsidR="00EF7DCF" w:rsidRPr="00EF7DCF" w14:paraId="2BCC5D45"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D40" w14:textId="77777777" w:rsidR="007F58D0" w:rsidRPr="00EF7DCF" w:rsidRDefault="00C0288F">
            <w:pPr>
              <w:keepNext/>
              <w:spacing w:after="60"/>
            </w:pPr>
            <w:r w:rsidRPr="00EF7DCF">
              <w:rPr>
                <w:rFonts w:ascii="Calibri" w:hAnsi="Calibri"/>
                <w:sz w:val="20"/>
              </w:rPr>
              <w:t>rate</w:t>
            </w:r>
          </w:p>
        </w:tc>
        <w:tc>
          <w:tcPr>
            <w:tcW w:w="0" w:type="auto"/>
            <w:tcBorders>
              <w:top w:val="single" w:sz="0" w:space="0" w:color="D3D3D3"/>
              <w:left w:val="single" w:sz="0" w:space="0" w:color="D3D3D3"/>
              <w:bottom w:val="single" w:sz="0" w:space="0" w:color="D3D3D3"/>
              <w:right w:val="single" w:sz="0" w:space="0" w:color="D3D3D3"/>
            </w:tcBorders>
          </w:tcPr>
          <w:p w14:paraId="2BCC5D41" w14:textId="77777777" w:rsidR="007F58D0" w:rsidRPr="00EF7DCF" w:rsidRDefault="00C0288F">
            <w:pPr>
              <w:keepNext/>
              <w:spacing w:after="60"/>
              <w:jc w:val="right"/>
            </w:pPr>
            <w:r w:rsidRPr="00EF7DCF">
              <w:rPr>
                <w:rFonts w:ascii="Calibri" w:hAnsi="Calibri"/>
                <w:sz w:val="20"/>
              </w:rPr>
              <w:t>0.036</w:t>
            </w:r>
          </w:p>
        </w:tc>
        <w:tc>
          <w:tcPr>
            <w:tcW w:w="0" w:type="auto"/>
            <w:tcBorders>
              <w:top w:val="single" w:sz="0" w:space="0" w:color="D3D3D3"/>
              <w:left w:val="single" w:sz="0" w:space="0" w:color="D3D3D3"/>
              <w:bottom w:val="single" w:sz="0" w:space="0" w:color="D3D3D3"/>
              <w:right w:val="single" w:sz="0" w:space="0" w:color="D3D3D3"/>
            </w:tcBorders>
          </w:tcPr>
          <w:p w14:paraId="2BCC5D42" w14:textId="77777777" w:rsidR="007F58D0" w:rsidRPr="00EF7DCF" w:rsidRDefault="00C0288F">
            <w:pPr>
              <w:keepNext/>
              <w:spacing w:after="60"/>
              <w:jc w:val="right"/>
            </w:pPr>
            <w:r w:rsidRPr="00EF7DCF">
              <w:rPr>
                <w:rFonts w:ascii="Calibri" w:hAnsi="Calibri"/>
                <w:sz w:val="20"/>
              </w:rPr>
              <w:t>0.003</w:t>
            </w:r>
          </w:p>
        </w:tc>
        <w:tc>
          <w:tcPr>
            <w:tcW w:w="0" w:type="auto"/>
            <w:tcBorders>
              <w:top w:val="single" w:sz="0" w:space="0" w:color="D3D3D3"/>
              <w:left w:val="single" w:sz="0" w:space="0" w:color="D3D3D3"/>
              <w:bottom w:val="single" w:sz="0" w:space="0" w:color="D3D3D3"/>
              <w:right w:val="single" w:sz="0" w:space="0" w:color="D3D3D3"/>
            </w:tcBorders>
          </w:tcPr>
          <w:p w14:paraId="2BCC5D43" w14:textId="77777777" w:rsidR="007F58D0" w:rsidRPr="00EF7DCF" w:rsidRDefault="00C0288F">
            <w:pPr>
              <w:keepNext/>
              <w:spacing w:after="60"/>
              <w:jc w:val="right"/>
            </w:pPr>
            <w:r w:rsidRPr="00EF7DCF">
              <w:rPr>
                <w:rFonts w:ascii="Calibri" w:hAnsi="Calibri"/>
                <w:sz w:val="20"/>
              </w:rPr>
              <w:t>0.03156123</w:t>
            </w:r>
          </w:p>
        </w:tc>
        <w:tc>
          <w:tcPr>
            <w:tcW w:w="0" w:type="auto"/>
            <w:tcBorders>
              <w:top w:val="single" w:sz="0" w:space="0" w:color="D3D3D3"/>
              <w:left w:val="single" w:sz="0" w:space="0" w:color="D3D3D3"/>
              <w:bottom w:val="single" w:sz="0" w:space="0" w:color="D3D3D3"/>
              <w:right w:val="single" w:sz="0" w:space="0" w:color="D3D3D3"/>
            </w:tcBorders>
          </w:tcPr>
          <w:p w14:paraId="2BCC5D44" w14:textId="77777777" w:rsidR="007F58D0" w:rsidRPr="00EF7DCF" w:rsidRDefault="00C0288F">
            <w:pPr>
              <w:keepNext/>
              <w:spacing w:after="60"/>
              <w:jc w:val="right"/>
            </w:pPr>
            <w:r w:rsidRPr="00EF7DCF">
              <w:rPr>
                <w:rFonts w:ascii="Calibri" w:hAnsi="Calibri"/>
                <w:sz w:val="20"/>
              </w:rPr>
              <w:t>0.04157691</w:t>
            </w:r>
          </w:p>
        </w:tc>
      </w:tr>
      <w:tr w:rsidR="00EF7DCF" w:rsidRPr="00EF7DCF" w14:paraId="2BCC5D47" w14:textId="77777777">
        <w:trPr>
          <w:cantSplit/>
          <w:jc w:val="center"/>
        </w:trPr>
        <w:tc>
          <w:tcPr>
            <w:tcW w:w="0" w:type="auto"/>
            <w:gridSpan w:val="5"/>
          </w:tcPr>
          <w:p w14:paraId="2BCC5D46" w14:textId="77777777" w:rsidR="007F58D0" w:rsidRPr="00EF7DCF" w:rsidRDefault="00C0288F">
            <w:pPr>
              <w:keepNext/>
              <w:spacing w:after="60"/>
            </w:pPr>
            <w:r w:rsidRPr="00EF7DCF">
              <w:rPr>
                <w:rFonts w:ascii="Calibri" w:hAnsi="Calibri"/>
                <w:sz w:val="20"/>
              </w:rPr>
              <w:t>log-likelihood = -2699.87726836959</w:t>
            </w:r>
          </w:p>
        </w:tc>
      </w:tr>
      <w:tr w:rsidR="00EF7DCF" w:rsidRPr="00EF7DCF" w14:paraId="2BCC5D49" w14:textId="77777777">
        <w:trPr>
          <w:cantSplit/>
          <w:jc w:val="center"/>
        </w:trPr>
        <w:tc>
          <w:tcPr>
            <w:tcW w:w="0" w:type="auto"/>
            <w:gridSpan w:val="5"/>
          </w:tcPr>
          <w:p w14:paraId="2BCC5D48" w14:textId="77777777" w:rsidR="007F58D0" w:rsidRPr="00EF7DCF" w:rsidRDefault="00C0288F">
            <w:pPr>
              <w:keepNext/>
              <w:spacing w:after="60"/>
            </w:pPr>
            <w:r w:rsidRPr="00EF7DCF">
              <w:rPr>
                <w:rFonts w:ascii="Calibri" w:hAnsi="Calibri"/>
                <w:sz w:val="20"/>
              </w:rPr>
              <w:t>AIC = 5403.75453673918</w:t>
            </w:r>
          </w:p>
        </w:tc>
      </w:tr>
      <w:tr w:rsidR="00EF7DCF" w:rsidRPr="00EF7DCF" w14:paraId="2BCC5D4B" w14:textId="77777777">
        <w:trPr>
          <w:cantSplit/>
          <w:jc w:val="center"/>
        </w:trPr>
        <w:tc>
          <w:tcPr>
            <w:tcW w:w="0" w:type="auto"/>
            <w:gridSpan w:val="5"/>
          </w:tcPr>
          <w:p w14:paraId="2BCC5D4A" w14:textId="77777777" w:rsidR="007F58D0" w:rsidRPr="00EF7DCF" w:rsidRDefault="00C0288F">
            <w:pPr>
              <w:keepNext/>
              <w:spacing w:after="60"/>
            </w:pPr>
            <w:r w:rsidRPr="00EF7DCF">
              <w:rPr>
                <w:rFonts w:ascii="Calibri" w:hAnsi="Calibri"/>
                <w:sz w:val="20"/>
              </w:rPr>
              <w:t>BIC = 5413.1731454197</w:t>
            </w:r>
          </w:p>
        </w:tc>
      </w:tr>
    </w:tbl>
    <w:tbl>
      <w:tblPr>
        <w:tblStyle w:val="Table"/>
        <w:tblW w:w="5000" w:type="pct"/>
        <w:tblLayout w:type="fixed"/>
        <w:tblLook w:val="0020" w:firstRow="1" w:lastRow="0" w:firstColumn="0" w:lastColumn="0" w:noHBand="0" w:noVBand="0"/>
      </w:tblPr>
      <w:tblGrid>
        <w:gridCol w:w="9360"/>
      </w:tblGrid>
      <w:tr w:rsidR="00EF7DCF" w:rsidRPr="00EF7DCF" w14:paraId="2BCC5D50"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D4C" w14:textId="77777777" w:rsidR="007F58D0" w:rsidRPr="00EF7DCF" w:rsidRDefault="00C0288F">
            <w:pPr>
              <w:pStyle w:val="ImageCaption"/>
              <w:spacing w:before="200"/>
            </w:pPr>
            <w:bookmarkStart w:id="73" w:name="tbl-km-gamma-ch2"/>
            <w:r w:rsidRPr="00EF7DCF">
              <w:t>Table 16: Survival model fit summary (gamma distribution)</w:t>
            </w:r>
          </w:p>
          <w:bookmarkEnd w:id="73"/>
          <w:p w14:paraId="2BCC5D4F" w14:textId="77777777" w:rsidR="007F58D0" w:rsidRPr="00EF7DCF" w:rsidRDefault="007F58D0"/>
        </w:tc>
      </w:tr>
    </w:tbl>
    <w:p w14:paraId="2BCC5D51" w14:textId="77777777" w:rsidR="007F58D0" w:rsidRPr="00EF7DCF" w:rsidRDefault="00C0288F">
      <w:r w:rsidRPr="00EF7DCF">
        <w:br w:type="page"/>
      </w:r>
    </w:p>
    <w:p w14:paraId="2BCC5D52" w14:textId="77777777" w:rsidR="007F58D0" w:rsidRPr="00EF7DCF" w:rsidRDefault="00C0288F">
      <w:pPr>
        <w:pStyle w:val="Heading4"/>
        <w:rPr>
          <w:color w:val="auto"/>
        </w:rPr>
      </w:pPr>
      <w:bookmarkStart w:id="74" w:name="generalised-gamma-1"/>
      <w:bookmarkEnd w:id="71"/>
      <w:proofErr w:type="spellStart"/>
      <w:r w:rsidRPr="00EF7DCF">
        <w:rPr>
          <w:color w:val="auto"/>
        </w:rPr>
        <w:lastRenderedPageBreak/>
        <w:t>Generalised</w:t>
      </w:r>
      <w:proofErr w:type="spellEnd"/>
      <w:r w:rsidRPr="00EF7DCF">
        <w:rPr>
          <w:color w:val="auto"/>
        </w:rPr>
        <w:t xml:space="preserve"> gamma</w:t>
      </w:r>
    </w:p>
    <w:tbl>
      <w:tblPr>
        <w:tblStyle w:val="Table"/>
        <w:tblW w:w="5000" w:type="pct"/>
        <w:tblLayout w:type="fixed"/>
        <w:tblLook w:val="0020" w:firstRow="1" w:lastRow="0" w:firstColumn="0" w:lastColumn="0" w:noHBand="0" w:noVBand="0"/>
      </w:tblPr>
      <w:tblGrid>
        <w:gridCol w:w="9360"/>
      </w:tblGrid>
      <w:tr w:rsidR="00EF7DCF" w:rsidRPr="00EF7DCF" w14:paraId="2BCC5D55"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D53" w14:textId="7FD83159" w:rsidR="007F58D0" w:rsidRPr="00EF7DCF" w:rsidRDefault="00C0288F">
            <w:pPr>
              <w:pStyle w:val="ImageCaption"/>
              <w:spacing w:before="200"/>
            </w:pPr>
            <w:bookmarkStart w:id="75" w:name="fig-km-gengamma-ch2"/>
            <w:r w:rsidRPr="00EF7DCF">
              <w:t>Figure 2</w:t>
            </w:r>
            <w:r w:rsidR="00B61FB8" w:rsidRPr="00EF7DCF">
              <w:t>2</w:t>
            </w:r>
            <w:r w:rsidRPr="00EF7DCF">
              <w:t xml:space="preserve">: Overall survival against </w:t>
            </w:r>
            <w:proofErr w:type="spellStart"/>
            <w:r w:rsidRPr="00EF7DCF">
              <w:t>generalised</w:t>
            </w:r>
            <w:proofErr w:type="spellEnd"/>
            <w:r w:rsidRPr="00EF7DCF">
              <w:t xml:space="preserve"> gamma survival function</w:t>
            </w:r>
          </w:p>
          <w:p w14:paraId="2BCC5D54" w14:textId="77777777" w:rsidR="007F58D0" w:rsidRPr="00EF7DCF" w:rsidRDefault="00C0288F">
            <w:pPr>
              <w:pStyle w:val="Compact"/>
              <w:jc w:val="center"/>
            </w:pPr>
            <w:r w:rsidRPr="00EF7DCF">
              <w:rPr>
                <w:noProof/>
              </w:rPr>
              <w:drawing>
                <wp:inline distT="0" distB="0" distL="0" distR="0" wp14:anchorId="2BCC5DC9" wp14:editId="2BCC5DCA">
                  <wp:extent cx="4620126" cy="3696101"/>
                  <wp:effectExtent l="0" t="0" r="0" b="0"/>
                  <wp:docPr id="153" name="Picture" title="A Kaplan-Meier plot showing overall survival over time for individuals who have received trastuzumab emtansine (excluding individuals who subsequently received trastuzumab deruxtecan), with an overlaid generalised gamma model fit."/>
                  <wp:cNvGraphicFramePr/>
                  <a:graphic xmlns:a="http://schemas.openxmlformats.org/drawingml/2006/main">
                    <a:graphicData uri="http://schemas.openxmlformats.org/drawingml/2006/picture">
                      <pic:pic xmlns:pic="http://schemas.openxmlformats.org/drawingml/2006/picture">
                        <pic:nvPicPr>
                          <pic:cNvPr id="154" name="Picture" descr="ID5121_trast_derux_breast_cancer_monthly_ss_files/figure-docx/fig-km-gengamma-ch2-1.png"/>
                          <pic:cNvPicPr>
                            <a:picLocks noChangeAspect="1" noChangeArrowheads="1"/>
                          </pic:cNvPicPr>
                        </pic:nvPicPr>
                        <pic:blipFill>
                          <a:blip r:embed="rId32"/>
                          <a:stretch>
                            <a:fillRect/>
                          </a:stretch>
                        </pic:blipFill>
                        <pic:spPr bwMode="auto">
                          <a:xfrm>
                            <a:off x="0" y="0"/>
                            <a:ext cx="4620126" cy="3696101"/>
                          </a:xfrm>
                          <a:prstGeom prst="rect">
                            <a:avLst/>
                          </a:prstGeom>
                          <a:noFill/>
                          <a:ln w="9525">
                            <a:noFill/>
                            <a:headEnd/>
                            <a:tailEnd/>
                          </a:ln>
                        </pic:spPr>
                      </pic:pic>
                    </a:graphicData>
                  </a:graphic>
                </wp:inline>
              </w:drawing>
            </w:r>
          </w:p>
        </w:tc>
        <w:bookmarkEnd w:id="75"/>
      </w:tr>
    </w:tbl>
    <w:p w14:paraId="2BCC5D56"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81"/>
        <w:gridCol w:w="831"/>
        <w:gridCol w:w="892"/>
        <w:gridCol w:w="982"/>
        <w:gridCol w:w="982"/>
      </w:tblGrid>
      <w:tr w:rsidR="00EF7DCF" w:rsidRPr="00EF7DCF" w14:paraId="2BCC5D5C" w14:textId="77777777">
        <w:trPr>
          <w:cantSplit/>
          <w:tblHeader/>
          <w:jc w:val="center"/>
        </w:trPr>
        <w:tc>
          <w:tcPr>
            <w:tcW w:w="0" w:type="auto"/>
            <w:tcBorders>
              <w:top w:val="single" w:sz="16" w:space="0" w:color="D3D3D3"/>
              <w:left w:val="single" w:sz="0" w:space="0" w:color="D3D3D3"/>
              <w:bottom w:val="single" w:sz="16" w:space="0" w:color="D3D3D3"/>
            </w:tcBorders>
          </w:tcPr>
          <w:p w14:paraId="2BCC5D57"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D58"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D59"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D5A" w14:textId="77777777" w:rsidR="007F58D0" w:rsidRPr="00EF7DCF" w:rsidRDefault="00C0288F">
            <w:pPr>
              <w:keepNext/>
              <w:spacing w:after="60"/>
              <w:jc w:val="right"/>
            </w:pPr>
            <w:r w:rsidRPr="00EF7DCF">
              <w:rPr>
                <w:rFonts w:ascii="Calibri" w:hAnsi="Calibri"/>
                <w:sz w:val="20"/>
              </w:rPr>
              <w:t>L95.</w:t>
            </w:r>
          </w:p>
        </w:tc>
        <w:tc>
          <w:tcPr>
            <w:tcW w:w="0" w:type="auto"/>
            <w:tcBorders>
              <w:top w:val="single" w:sz="16" w:space="0" w:color="D3D3D3"/>
              <w:bottom w:val="single" w:sz="16" w:space="0" w:color="D3D3D3"/>
              <w:right w:val="single" w:sz="0" w:space="0" w:color="D3D3D3"/>
            </w:tcBorders>
          </w:tcPr>
          <w:p w14:paraId="2BCC5D5B" w14:textId="77777777" w:rsidR="007F58D0" w:rsidRPr="00EF7DCF" w:rsidRDefault="00C0288F">
            <w:pPr>
              <w:keepNext/>
              <w:spacing w:after="60"/>
              <w:jc w:val="right"/>
            </w:pPr>
            <w:r w:rsidRPr="00EF7DCF">
              <w:rPr>
                <w:rFonts w:ascii="Calibri" w:hAnsi="Calibri"/>
                <w:sz w:val="20"/>
              </w:rPr>
              <w:t>U95.</w:t>
            </w:r>
          </w:p>
        </w:tc>
      </w:tr>
      <w:tr w:rsidR="00EF7DCF" w:rsidRPr="00EF7DCF" w14:paraId="2BCC5D62"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D5D" w14:textId="77777777" w:rsidR="007F58D0" w:rsidRPr="00EF7DCF" w:rsidRDefault="00C0288F">
            <w:pPr>
              <w:keepNext/>
              <w:spacing w:after="60"/>
            </w:pPr>
            <w:r w:rsidRPr="00EF7DCF">
              <w:rPr>
                <w:rFonts w:ascii="Calibri" w:hAnsi="Calibri"/>
                <w:sz w:val="20"/>
              </w:rPr>
              <w:t>mu</w:t>
            </w:r>
          </w:p>
        </w:tc>
        <w:tc>
          <w:tcPr>
            <w:tcW w:w="0" w:type="auto"/>
            <w:tcBorders>
              <w:top w:val="single" w:sz="0" w:space="0" w:color="D3D3D3"/>
              <w:left w:val="single" w:sz="0" w:space="0" w:color="D3D3D3"/>
              <w:bottom w:val="single" w:sz="0" w:space="0" w:color="D3D3D3"/>
              <w:right w:val="single" w:sz="0" w:space="0" w:color="D3D3D3"/>
            </w:tcBorders>
          </w:tcPr>
          <w:p w14:paraId="2BCC5D5E" w14:textId="77777777" w:rsidR="007F58D0" w:rsidRPr="00EF7DCF" w:rsidRDefault="00C0288F">
            <w:pPr>
              <w:keepNext/>
              <w:spacing w:after="60"/>
              <w:jc w:val="right"/>
            </w:pPr>
            <w:r w:rsidRPr="00EF7DCF">
              <w:rPr>
                <w:rFonts w:ascii="Calibri" w:hAnsi="Calibri"/>
                <w:sz w:val="20"/>
              </w:rPr>
              <w:t>3.007</w:t>
            </w:r>
          </w:p>
        </w:tc>
        <w:tc>
          <w:tcPr>
            <w:tcW w:w="0" w:type="auto"/>
            <w:tcBorders>
              <w:top w:val="single" w:sz="0" w:space="0" w:color="D3D3D3"/>
              <w:left w:val="single" w:sz="0" w:space="0" w:color="D3D3D3"/>
              <w:bottom w:val="single" w:sz="0" w:space="0" w:color="D3D3D3"/>
              <w:right w:val="single" w:sz="0" w:space="0" w:color="D3D3D3"/>
            </w:tcBorders>
          </w:tcPr>
          <w:p w14:paraId="2BCC5D5F" w14:textId="77777777" w:rsidR="007F58D0" w:rsidRPr="00EF7DCF" w:rsidRDefault="00C0288F">
            <w:pPr>
              <w:keepNext/>
              <w:spacing w:after="60"/>
              <w:jc w:val="right"/>
            </w:pPr>
            <w:r w:rsidRPr="00EF7DCF">
              <w:rPr>
                <w:rFonts w:ascii="Calibri" w:hAnsi="Calibri"/>
                <w:sz w:val="20"/>
              </w:rPr>
              <w:t>0.066</w:t>
            </w:r>
          </w:p>
        </w:tc>
        <w:tc>
          <w:tcPr>
            <w:tcW w:w="0" w:type="auto"/>
            <w:tcBorders>
              <w:top w:val="single" w:sz="0" w:space="0" w:color="D3D3D3"/>
              <w:left w:val="single" w:sz="0" w:space="0" w:color="D3D3D3"/>
              <w:bottom w:val="single" w:sz="0" w:space="0" w:color="D3D3D3"/>
              <w:right w:val="single" w:sz="0" w:space="0" w:color="D3D3D3"/>
            </w:tcBorders>
          </w:tcPr>
          <w:p w14:paraId="2BCC5D60" w14:textId="77777777" w:rsidR="007F58D0" w:rsidRPr="00EF7DCF" w:rsidRDefault="00C0288F">
            <w:pPr>
              <w:keepNext/>
              <w:spacing w:after="60"/>
              <w:jc w:val="right"/>
            </w:pPr>
            <w:r w:rsidRPr="00EF7DCF">
              <w:rPr>
                <w:rFonts w:ascii="Calibri" w:hAnsi="Calibri"/>
                <w:sz w:val="20"/>
              </w:rPr>
              <w:t>2.8772975</w:t>
            </w:r>
          </w:p>
        </w:tc>
        <w:tc>
          <w:tcPr>
            <w:tcW w:w="0" w:type="auto"/>
            <w:tcBorders>
              <w:top w:val="single" w:sz="0" w:space="0" w:color="D3D3D3"/>
              <w:left w:val="single" w:sz="0" w:space="0" w:color="D3D3D3"/>
              <w:bottom w:val="single" w:sz="0" w:space="0" w:color="D3D3D3"/>
              <w:right w:val="single" w:sz="0" w:space="0" w:color="D3D3D3"/>
            </w:tcBorders>
          </w:tcPr>
          <w:p w14:paraId="2BCC5D61" w14:textId="77777777" w:rsidR="007F58D0" w:rsidRPr="00EF7DCF" w:rsidRDefault="00C0288F">
            <w:pPr>
              <w:keepNext/>
              <w:spacing w:after="60"/>
              <w:jc w:val="right"/>
            </w:pPr>
            <w:r w:rsidRPr="00EF7DCF">
              <w:rPr>
                <w:rFonts w:ascii="Calibri" w:hAnsi="Calibri"/>
                <w:sz w:val="20"/>
              </w:rPr>
              <w:t>3.1368227</w:t>
            </w:r>
          </w:p>
        </w:tc>
      </w:tr>
      <w:tr w:rsidR="00EF7DCF" w:rsidRPr="00EF7DCF" w14:paraId="2BCC5D68"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D63" w14:textId="77777777" w:rsidR="007F58D0" w:rsidRPr="00EF7DCF" w:rsidRDefault="00C0288F">
            <w:pPr>
              <w:keepNext/>
              <w:spacing w:after="60"/>
            </w:pPr>
            <w:r w:rsidRPr="00EF7DCF">
              <w:rPr>
                <w:rFonts w:ascii="Calibri" w:hAnsi="Calibri"/>
                <w:sz w:val="20"/>
              </w:rPr>
              <w:t>sigma</w:t>
            </w:r>
          </w:p>
        </w:tc>
        <w:tc>
          <w:tcPr>
            <w:tcW w:w="0" w:type="auto"/>
            <w:tcBorders>
              <w:top w:val="single" w:sz="0" w:space="0" w:color="D3D3D3"/>
              <w:left w:val="single" w:sz="0" w:space="0" w:color="D3D3D3"/>
              <w:bottom w:val="single" w:sz="0" w:space="0" w:color="D3D3D3"/>
              <w:right w:val="single" w:sz="0" w:space="0" w:color="D3D3D3"/>
            </w:tcBorders>
          </w:tcPr>
          <w:p w14:paraId="2BCC5D64" w14:textId="77777777" w:rsidR="007F58D0" w:rsidRPr="00EF7DCF" w:rsidRDefault="00C0288F">
            <w:pPr>
              <w:keepNext/>
              <w:spacing w:after="60"/>
              <w:jc w:val="right"/>
            </w:pPr>
            <w:r w:rsidRPr="00EF7DCF">
              <w:rPr>
                <w:rFonts w:ascii="Calibri" w:hAnsi="Calibri"/>
                <w:sz w:val="20"/>
              </w:rPr>
              <w:t>1.195</w:t>
            </w:r>
          </w:p>
        </w:tc>
        <w:tc>
          <w:tcPr>
            <w:tcW w:w="0" w:type="auto"/>
            <w:tcBorders>
              <w:top w:val="single" w:sz="0" w:space="0" w:color="D3D3D3"/>
              <w:left w:val="single" w:sz="0" w:space="0" w:color="D3D3D3"/>
              <w:bottom w:val="single" w:sz="0" w:space="0" w:color="D3D3D3"/>
              <w:right w:val="single" w:sz="0" w:space="0" w:color="D3D3D3"/>
            </w:tcBorders>
          </w:tcPr>
          <w:p w14:paraId="2BCC5D65" w14:textId="77777777" w:rsidR="007F58D0" w:rsidRPr="00EF7DCF" w:rsidRDefault="00C0288F">
            <w:pPr>
              <w:keepNext/>
              <w:spacing w:after="60"/>
              <w:jc w:val="right"/>
            </w:pPr>
            <w:r w:rsidRPr="00EF7DCF">
              <w:rPr>
                <w:rFonts w:ascii="Calibri" w:hAnsi="Calibri"/>
                <w:sz w:val="20"/>
              </w:rPr>
              <w:t>0.043</w:t>
            </w:r>
          </w:p>
        </w:tc>
        <w:tc>
          <w:tcPr>
            <w:tcW w:w="0" w:type="auto"/>
            <w:tcBorders>
              <w:top w:val="single" w:sz="0" w:space="0" w:color="D3D3D3"/>
              <w:left w:val="single" w:sz="0" w:space="0" w:color="D3D3D3"/>
              <w:bottom w:val="single" w:sz="0" w:space="0" w:color="D3D3D3"/>
              <w:right w:val="single" w:sz="0" w:space="0" w:color="D3D3D3"/>
            </w:tcBorders>
          </w:tcPr>
          <w:p w14:paraId="2BCC5D66" w14:textId="77777777" w:rsidR="007F58D0" w:rsidRPr="00EF7DCF" w:rsidRDefault="00C0288F">
            <w:pPr>
              <w:keepNext/>
              <w:spacing w:after="60"/>
              <w:jc w:val="right"/>
            </w:pPr>
            <w:r w:rsidRPr="00EF7DCF">
              <w:rPr>
                <w:rFonts w:ascii="Calibri" w:hAnsi="Calibri"/>
                <w:sz w:val="20"/>
              </w:rPr>
              <w:t>1.1124448</w:t>
            </w:r>
          </w:p>
        </w:tc>
        <w:tc>
          <w:tcPr>
            <w:tcW w:w="0" w:type="auto"/>
            <w:tcBorders>
              <w:top w:val="single" w:sz="0" w:space="0" w:color="D3D3D3"/>
              <w:left w:val="single" w:sz="0" w:space="0" w:color="D3D3D3"/>
              <w:bottom w:val="single" w:sz="0" w:space="0" w:color="D3D3D3"/>
              <w:right w:val="single" w:sz="0" w:space="0" w:color="D3D3D3"/>
            </w:tcBorders>
          </w:tcPr>
          <w:p w14:paraId="2BCC5D67" w14:textId="77777777" w:rsidR="007F58D0" w:rsidRPr="00EF7DCF" w:rsidRDefault="00C0288F">
            <w:pPr>
              <w:keepNext/>
              <w:spacing w:after="60"/>
              <w:jc w:val="right"/>
            </w:pPr>
            <w:r w:rsidRPr="00EF7DCF">
              <w:rPr>
                <w:rFonts w:ascii="Calibri" w:hAnsi="Calibri"/>
                <w:sz w:val="20"/>
              </w:rPr>
              <w:t>1.2827803</w:t>
            </w:r>
          </w:p>
        </w:tc>
      </w:tr>
      <w:tr w:rsidR="00EF7DCF" w:rsidRPr="00EF7DCF" w14:paraId="2BCC5D6E"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D69" w14:textId="77777777" w:rsidR="007F58D0" w:rsidRPr="00EF7DCF" w:rsidRDefault="00C0288F">
            <w:pPr>
              <w:keepNext/>
              <w:spacing w:after="60"/>
            </w:pPr>
            <w:r w:rsidRPr="00EF7DCF">
              <w:rPr>
                <w:rFonts w:ascii="Calibri" w:hAnsi="Calibri"/>
                <w:sz w:val="20"/>
              </w:rPr>
              <w:t>Q</w:t>
            </w:r>
          </w:p>
        </w:tc>
        <w:tc>
          <w:tcPr>
            <w:tcW w:w="0" w:type="auto"/>
            <w:tcBorders>
              <w:top w:val="single" w:sz="0" w:space="0" w:color="D3D3D3"/>
              <w:left w:val="single" w:sz="0" w:space="0" w:color="D3D3D3"/>
              <w:bottom w:val="single" w:sz="0" w:space="0" w:color="D3D3D3"/>
              <w:right w:val="single" w:sz="0" w:space="0" w:color="D3D3D3"/>
            </w:tcBorders>
          </w:tcPr>
          <w:p w14:paraId="2BCC5D6A" w14:textId="77777777" w:rsidR="007F58D0" w:rsidRPr="00EF7DCF" w:rsidRDefault="00C0288F">
            <w:pPr>
              <w:keepNext/>
              <w:spacing w:after="60"/>
              <w:jc w:val="right"/>
            </w:pPr>
            <w:r w:rsidRPr="00EF7DCF">
              <w:rPr>
                <w:rFonts w:ascii="Calibri" w:hAnsi="Calibri"/>
                <w:sz w:val="20"/>
              </w:rPr>
              <w:t>0.295</w:t>
            </w:r>
          </w:p>
        </w:tc>
        <w:tc>
          <w:tcPr>
            <w:tcW w:w="0" w:type="auto"/>
            <w:tcBorders>
              <w:top w:val="single" w:sz="0" w:space="0" w:color="D3D3D3"/>
              <w:left w:val="single" w:sz="0" w:space="0" w:color="D3D3D3"/>
              <w:bottom w:val="single" w:sz="0" w:space="0" w:color="D3D3D3"/>
              <w:right w:val="single" w:sz="0" w:space="0" w:color="D3D3D3"/>
            </w:tcBorders>
          </w:tcPr>
          <w:p w14:paraId="2BCC5D6B" w14:textId="77777777" w:rsidR="007F58D0" w:rsidRPr="00EF7DCF" w:rsidRDefault="00C0288F">
            <w:pPr>
              <w:keepNext/>
              <w:spacing w:after="60"/>
              <w:jc w:val="right"/>
            </w:pPr>
            <w:r w:rsidRPr="00EF7DCF">
              <w:rPr>
                <w:rFonts w:ascii="Calibri" w:hAnsi="Calibri"/>
                <w:sz w:val="20"/>
              </w:rPr>
              <w:t>0.097</w:t>
            </w:r>
          </w:p>
        </w:tc>
        <w:tc>
          <w:tcPr>
            <w:tcW w:w="0" w:type="auto"/>
            <w:tcBorders>
              <w:top w:val="single" w:sz="0" w:space="0" w:color="D3D3D3"/>
              <w:left w:val="single" w:sz="0" w:space="0" w:color="D3D3D3"/>
              <w:bottom w:val="single" w:sz="0" w:space="0" w:color="D3D3D3"/>
              <w:right w:val="single" w:sz="0" w:space="0" w:color="D3D3D3"/>
            </w:tcBorders>
          </w:tcPr>
          <w:p w14:paraId="2BCC5D6C" w14:textId="77777777" w:rsidR="007F58D0" w:rsidRPr="00EF7DCF" w:rsidRDefault="00C0288F">
            <w:pPr>
              <w:keepNext/>
              <w:spacing w:after="60"/>
              <w:jc w:val="right"/>
            </w:pPr>
            <w:r w:rsidRPr="00EF7DCF">
              <w:rPr>
                <w:rFonts w:ascii="Calibri" w:hAnsi="Calibri"/>
                <w:sz w:val="20"/>
              </w:rPr>
              <w:t>0.1055441</w:t>
            </w:r>
          </w:p>
        </w:tc>
        <w:tc>
          <w:tcPr>
            <w:tcW w:w="0" w:type="auto"/>
            <w:tcBorders>
              <w:top w:val="single" w:sz="0" w:space="0" w:color="D3D3D3"/>
              <w:left w:val="single" w:sz="0" w:space="0" w:color="D3D3D3"/>
              <w:bottom w:val="single" w:sz="0" w:space="0" w:color="D3D3D3"/>
              <w:right w:val="single" w:sz="0" w:space="0" w:color="D3D3D3"/>
            </w:tcBorders>
          </w:tcPr>
          <w:p w14:paraId="2BCC5D6D" w14:textId="77777777" w:rsidR="007F58D0" w:rsidRPr="00EF7DCF" w:rsidRDefault="00C0288F">
            <w:pPr>
              <w:keepNext/>
              <w:spacing w:after="60"/>
              <w:jc w:val="right"/>
            </w:pPr>
            <w:r w:rsidRPr="00EF7DCF">
              <w:rPr>
                <w:rFonts w:ascii="Calibri" w:hAnsi="Calibri"/>
                <w:sz w:val="20"/>
              </w:rPr>
              <w:t>0.4844683</w:t>
            </w:r>
          </w:p>
        </w:tc>
      </w:tr>
      <w:tr w:rsidR="00EF7DCF" w:rsidRPr="00EF7DCF" w14:paraId="2BCC5D70" w14:textId="77777777">
        <w:trPr>
          <w:cantSplit/>
          <w:jc w:val="center"/>
        </w:trPr>
        <w:tc>
          <w:tcPr>
            <w:tcW w:w="0" w:type="auto"/>
            <w:gridSpan w:val="5"/>
          </w:tcPr>
          <w:p w14:paraId="2BCC5D6F" w14:textId="77777777" w:rsidR="007F58D0" w:rsidRPr="00EF7DCF" w:rsidRDefault="00C0288F">
            <w:pPr>
              <w:keepNext/>
              <w:spacing w:after="60"/>
            </w:pPr>
            <w:r w:rsidRPr="00EF7DCF">
              <w:rPr>
                <w:rFonts w:ascii="Calibri" w:hAnsi="Calibri"/>
                <w:sz w:val="20"/>
              </w:rPr>
              <w:t>log-likelihood = -2677.05010376246</w:t>
            </w:r>
          </w:p>
        </w:tc>
      </w:tr>
      <w:tr w:rsidR="00EF7DCF" w:rsidRPr="00EF7DCF" w14:paraId="2BCC5D72" w14:textId="77777777">
        <w:trPr>
          <w:cantSplit/>
          <w:jc w:val="center"/>
        </w:trPr>
        <w:tc>
          <w:tcPr>
            <w:tcW w:w="0" w:type="auto"/>
            <w:gridSpan w:val="5"/>
          </w:tcPr>
          <w:p w14:paraId="2BCC5D71" w14:textId="77777777" w:rsidR="007F58D0" w:rsidRPr="00EF7DCF" w:rsidRDefault="00C0288F">
            <w:pPr>
              <w:keepNext/>
              <w:spacing w:after="60"/>
            </w:pPr>
            <w:r w:rsidRPr="00EF7DCF">
              <w:rPr>
                <w:rFonts w:ascii="Calibri" w:hAnsi="Calibri"/>
                <w:sz w:val="20"/>
              </w:rPr>
              <w:t>AIC = 5360.10020752493</w:t>
            </w:r>
          </w:p>
        </w:tc>
      </w:tr>
      <w:tr w:rsidR="00EF7DCF" w:rsidRPr="00EF7DCF" w14:paraId="2BCC5D74" w14:textId="77777777">
        <w:trPr>
          <w:cantSplit/>
          <w:jc w:val="center"/>
        </w:trPr>
        <w:tc>
          <w:tcPr>
            <w:tcW w:w="0" w:type="auto"/>
            <w:gridSpan w:val="5"/>
          </w:tcPr>
          <w:p w14:paraId="2BCC5D73" w14:textId="77777777" w:rsidR="007F58D0" w:rsidRPr="00EF7DCF" w:rsidRDefault="00C0288F">
            <w:pPr>
              <w:keepNext/>
              <w:spacing w:after="60"/>
            </w:pPr>
            <w:r w:rsidRPr="00EF7DCF">
              <w:rPr>
                <w:rFonts w:ascii="Calibri" w:hAnsi="Calibri"/>
                <w:sz w:val="20"/>
              </w:rPr>
              <w:t>BIC = 5374.2281205457</w:t>
            </w:r>
          </w:p>
        </w:tc>
      </w:tr>
    </w:tbl>
    <w:tbl>
      <w:tblPr>
        <w:tblStyle w:val="Table"/>
        <w:tblW w:w="5000" w:type="pct"/>
        <w:tblLayout w:type="fixed"/>
        <w:tblLook w:val="0020" w:firstRow="1" w:lastRow="0" w:firstColumn="0" w:lastColumn="0" w:noHBand="0" w:noVBand="0"/>
      </w:tblPr>
      <w:tblGrid>
        <w:gridCol w:w="9360"/>
      </w:tblGrid>
      <w:tr w:rsidR="00EF7DCF" w:rsidRPr="00EF7DCF" w14:paraId="2BCC5D79"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D75" w14:textId="77777777" w:rsidR="007F58D0" w:rsidRPr="00EF7DCF" w:rsidRDefault="00C0288F">
            <w:pPr>
              <w:pStyle w:val="ImageCaption"/>
              <w:spacing w:before="200"/>
            </w:pPr>
            <w:bookmarkStart w:id="76" w:name="tbl-km-gengamma-ch2"/>
            <w:r w:rsidRPr="00EF7DCF">
              <w:t>Table 17: Survival model fit summary (</w:t>
            </w:r>
            <w:proofErr w:type="spellStart"/>
            <w:r w:rsidRPr="00EF7DCF">
              <w:t>generalised</w:t>
            </w:r>
            <w:proofErr w:type="spellEnd"/>
            <w:r w:rsidRPr="00EF7DCF">
              <w:t xml:space="preserve"> gamma distribution)</w:t>
            </w:r>
          </w:p>
          <w:bookmarkEnd w:id="76"/>
          <w:p w14:paraId="2BCC5D78" w14:textId="77777777" w:rsidR="007F58D0" w:rsidRPr="00EF7DCF" w:rsidRDefault="007F58D0"/>
        </w:tc>
      </w:tr>
    </w:tbl>
    <w:p w14:paraId="2BCC5D7A" w14:textId="77777777" w:rsidR="007F58D0" w:rsidRPr="00EF7DCF" w:rsidRDefault="00C0288F">
      <w:r w:rsidRPr="00EF7DCF">
        <w:br w:type="page"/>
      </w:r>
    </w:p>
    <w:p w14:paraId="2BCC5D7B" w14:textId="77777777" w:rsidR="007F58D0" w:rsidRPr="00EF7DCF" w:rsidRDefault="00C0288F">
      <w:pPr>
        <w:pStyle w:val="Heading4"/>
        <w:rPr>
          <w:color w:val="auto"/>
        </w:rPr>
      </w:pPr>
      <w:bookmarkStart w:id="77" w:name="gompertz-1"/>
      <w:bookmarkEnd w:id="74"/>
      <w:r w:rsidRPr="00EF7DCF">
        <w:rPr>
          <w:color w:val="auto"/>
        </w:rPr>
        <w:lastRenderedPageBreak/>
        <w:t>Gompertz</w:t>
      </w:r>
    </w:p>
    <w:tbl>
      <w:tblPr>
        <w:tblStyle w:val="Table"/>
        <w:tblW w:w="5000" w:type="pct"/>
        <w:tblLayout w:type="fixed"/>
        <w:tblLook w:val="0020" w:firstRow="1" w:lastRow="0" w:firstColumn="0" w:lastColumn="0" w:noHBand="0" w:noVBand="0"/>
      </w:tblPr>
      <w:tblGrid>
        <w:gridCol w:w="9360"/>
      </w:tblGrid>
      <w:tr w:rsidR="00EF7DCF" w:rsidRPr="00EF7DCF" w14:paraId="2BCC5D7E"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D7C" w14:textId="671D3F34" w:rsidR="007F58D0" w:rsidRPr="00EF7DCF" w:rsidRDefault="00C0288F">
            <w:pPr>
              <w:pStyle w:val="ImageCaption"/>
              <w:spacing w:before="200"/>
            </w:pPr>
            <w:bookmarkStart w:id="78" w:name="fig-km-gompertz-ch2"/>
            <w:r w:rsidRPr="00EF7DCF">
              <w:t>Figure 2</w:t>
            </w:r>
            <w:r w:rsidR="00B61FB8" w:rsidRPr="00EF7DCF">
              <w:t>3</w:t>
            </w:r>
            <w:r w:rsidRPr="00EF7DCF">
              <w:t>: Overall survival against Gompertz survival function</w:t>
            </w:r>
          </w:p>
          <w:p w14:paraId="2BCC5D7D" w14:textId="77777777" w:rsidR="007F58D0" w:rsidRPr="00EF7DCF" w:rsidRDefault="00C0288F">
            <w:pPr>
              <w:pStyle w:val="Compact"/>
              <w:jc w:val="center"/>
            </w:pPr>
            <w:r w:rsidRPr="00EF7DCF">
              <w:rPr>
                <w:noProof/>
              </w:rPr>
              <w:drawing>
                <wp:inline distT="0" distB="0" distL="0" distR="0" wp14:anchorId="2BCC5DCB" wp14:editId="2BCC5DCC">
                  <wp:extent cx="4620126" cy="3696101"/>
                  <wp:effectExtent l="0" t="0" r="0" b="0"/>
                  <wp:docPr id="159" name="Picture" title="A Kaplan-Meier plot showing overall survival over time for individuals who have received trastuzumab emtansine (excluding individuals who subsequently received trastuzumab deruxtecan), with an overlaid Gompertz model fit."/>
                  <wp:cNvGraphicFramePr/>
                  <a:graphic xmlns:a="http://schemas.openxmlformats.org/drawingml/2006/main">
                    <a:graphicData uri="http://schemas.openxmlformats.org/drawingml/2006/picture">
                      <pic:pic xmlns:pic="http://schemas.openxmlformats.org/drawingml/2006/picture">
                        <pic:nvPicPr>
                          <pic:cNvPr id="160" name="Picture" descr="ID5121_trast_derux_breast_cancer_monthly_ss_files/figure-docx/fig-km-gompertz-ch2-1.png"/>
                          <pic:cNvPicPr>
                            <a:picLocks noChangeAspect="1" noChangeArrowheads="1"/>
                          </pic:cNvPicPr>
                        </pic:nvPicPr>
                        <pic:blipFill>
                          <a:blip r:embed="rId33"/>
                          <a:stretch>
                            <a:fillRect/>
                          </a:stretch>
                        </pic:blipFill>
                        <pic:spPr bwMode="auto">
                          <a:xfrm>
                            <a:off x="0" y="0"/>
                            <a:ext cx="4620126" cy="3696101"/>
                          </a:xfrm>
                          <a:prstGeom prst="rect">
                            <a:avLst/>
                          </a:prstGeom>
                          <a:noFill/>
                          <a:ln w="9525">
                            <a:noFill/>
                            <a:headEnd/>
                            <a:tailEnd/>
                          </a:ln>
                        </pic:spPr>
                      </pic:pic>
                    </a:graphicData>
                  </a:graphic>
                </wp:inline>
              </w:drawing>
            </w:r>
          </w:p>
        </w:tc>
        <w:bookmarkEnd w:id="78"/>
      </w:tr>
    </w:tbl>
    <w:p w14:paraId="2BCC5D7F" w14:textId="77777777" w:rsidR="007F58D0" w:rsidRPr="00EF7DCF" w:rsidRDefault="007F58D0">
      <w:pPr>
        <w:pStyle w:val="BodyText"/>
      </w:pPr>
    </w:p>
    <w:tbl>
      <w:tblPr>
        <w:tblW w:w="0" w:type="auto"/>
        <w:jc w:val="center"/>
        <w:tblCellMar>
          <w:left w:w="60" w:type="dxa"/>
          <w:right w:w="60" w:type="dxa"/>
        </w:tblCellMar>
        <w:tblLook w:val="0000" w:firstRow="0" w:lastRow="0" w:firstColumn="0" w:lastColumn="0" w:noHBand="0" w:noVBand="0"/>
      </w:tblPr>
      <w:tblGrid>
        <w:gridCol w:w="981"/>
        <w:gridCol w:w="831"/>
        <w:gridCol w:w="892"/>
        <w:gridCol w:w="1145"/>
        <w:gridCol w:w="1246"/>
      </w:tblGrid>
      <w:tr w:rsidR="00EF7DCF" w:rsidRPr="00EF7DCF" w14:paraId="2BCC5D85" w14:textId="77777777">
        <w:trPr>
          <w:cantSplit/>
          <w:tblHeader/>
          <w:jc w:val="center"/>
        </w:trPr>
        <w:tc>
          <w:tcPr>
            <w:tcW w:w="0" w:type="auto"/>
            <w:tcBorders>
              <w:top w:val="single" w:sz="16" w:space="0" w:color="D3D3D3"/>
              <w:left w:val="single" w:sz="0" w:space="0" w:color="D3D3D3"/>
              <w:bottom w:val="single" w:sz="16" w:space="0" w:color="D3D3D3"/>
            </w:tcBorders>
          </w:tcPr>
          <w:p w14:paraId="2BCC5D80" w14:textId="77777777" w:rsidR="007F58D0" w:rsidRPr="00EF7DCF" w:rsidRDefault="00C0288F">
            <w:pPr>
              <w:keepNext/>
              <w:spacing w:after="60"/>
            </w:pPr>
            <w:r w:rsidRPr="00EF7DCF">
              <w:rPr>
                <w:rFonts w:ascii="Calibri" w:hAnsi="Calibri"/>
                <w:sz w:val="20"/>
              </w:rPr>
              <w:t>Parameter</w:t>
            </w:r>
          </w:p>
        </w:tc>
        <w:tc>
          <w:tcPr>
            <w:tcW w:w="0" w:type="auto"/>
            <w:tcBorders>
              <w:top w:val="single" w:sz="16" w:space="0" w:color="D3D3D3"/>
              <w:bottom w:val="single" w:sz="16" w:space="0" w:color="D3D3D3"/>
            </w:tcBorders>
          </w:tcPr>
          <w:p w14:paraId="2BCC5D81" w14:textId="77777777" w:rsidR="007F58D0" w:rsidRPr="00EF7DCF" w:rsidRDefault="00C0288F">
            <w:pPr>
              <w:keepNext/>
              <w:spacing w:after="60"/>
              <w:jc w:val="right"/>
            </w:pPr>
            <w:r w:rsidRPr="00EF7DCF">
              <w:rPr>
                <w:rFonts w:ascii="Calibri" w:hAnsi="Calibri"/>
                <w:sz w:val="20"/>
              </w:rPr>
              <w:t>Estimate</w:t>
            </w:r>
          </w:p>
        </w:tc>
        <w:tc>
          <w:tcPr>
            <w:tcW w:w="0" w:type="auto"/>
            <w:tcBorders>
              <w:top w:val="single" w:sz="16" w:space="0" w:color="D3D3D3"/>
              <w:bottom w:val="single" w:sz="16" w:space="0" w:color="D3D3D3"/>
            </w:tcBorders>
          </w:tcPr>
          <w:p w14:paraId="2BCC5D82" w14:textId="77777777" w:rsidR="007F58D0" w:rsidRPr="00EF7DCF" w:rsidRDefault="00C0288F">
            <w:pPr>
              <w:keepNext/>
              <w:spacing w:after="60"/>
              <w:jc w:val="right"/>
            </w:pPr>
            <w:r w:rsidRPr="00EF7DCF">
              <w:rPr>
                <w:rFonts w:ascii="Calibri" w:hAnsi="Calibri"/>
                <w:sz w:val="20"/>
              </w:rPr>
              <w:t>Std. Error</w:t>
            </w:r>
          </w:p>
        </w:tc>
        <w:tc>
          <w:tcPr>
            <w:tcW w:w="0" w:type="auto"/>
            <w:tcBorders>
              <w:top w:val="single" w:sz="16" w:space="0" w:color="D3D3D3"/>
              <w:bottom w:val="single" w:sz="16" w:space="0" w:color="D3D3D3"/>
            </w:tcBorders>
          </w:tcPr>
          <w:p w14:paraId="2BCC5D83" w14:textId="77777777" w:rsidR="007F58D0" w:rsidRPr="00EF7DCF" w:rsidRDefault="00C0288F">
            <w:pPr>
              <w:keepNext/>
              <w:spacing w:after="60"/>
              <w:jc w:val="right"/>
            </w:pPr>
            <w:r w:rsidRPr="00EF7DCF">
              <w:rPr>
                <w:rFonts w:ascii="Calibri" w:hAnsi="Calibri"/>
                <w:sz w:val="20"/>
              </w:rPr>
              <w:t>L95.</w:t>
            </w:r>
          </w:p>
        </w:tc>
        <w:tc>
          <w:tcPr>
            <w:tcW w:w="0" w:type="auto"/>
            <w:tcBorders>
              <w:top w:val="single" w:sz="16" w:space="0" w:color="D3D3D3"/>
              <w:bottom w:val="single" w:sz="16" w:space="0" w:color="D3D3D3"/>
              <w:right w:val="single" w:sz="0" w:space="0" w:color="D3D3D3"/>
            </w:tcBorders>
          </w:tcPr>
          <w:p w14:paraId="2BCC5D84" w14:textId="77777777" w:rsidR="007F58D0" w:rsidRPr="00EF7DCF" w:rsidRDefault="00C0288F">
            <w:pPr>
              <w:keepNext/>
              <w:spacing w:after="60"/>
              <w:jc w:val="right"/>
            </w:pPr>
            <w:r w:rsidRPr="00EF7DCF">
              <w:rPr>
                <w:rFonts w:ascii="Calibri" w:hAnsi="Calibri"/>
                <w:sz w:val="20"/>
              </w:rPr>
              <w:t>U95.</w:t>
            </w:r>
          </w:p>
        </w:tc>
      </w:tr>
      <w:tr w:rsidR="00EF7DCF" w:rsidRPr="00EF7DCF" w14:paraId="2BCC5D8B"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D86" w14:textId="77777777" w:rsidR="007F58D0" w:rsidRPr="00EF7DCF" w:rsidRDefault="00C0288F">
            <w:pPr>
              <w:keepNext/>
              <w:spacing w:after="60"/>
            </w:pPr>
            <w:r w:rsidRPr="00EF7DCF">
              <w:rPr>
                <w:rFonts w:ascii="Calibri" w:hAnsi="Calibri"/>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2BCC5D87" w14:textId="77777777" w:rsidR="007F58D0" w:rsidRPr="00EF7DCF" w:rsidRDefault="00C0288F">
            <w:pPr>
              <w:keepNext/>
              <w:spacing w:after="60"/>
              <w:jc w:val="right"/>
            </w:pPr>
            <w:r w:rsidRPr="00EF7DCF">
              <w:rPr>
                <w:rFonts w:ascii="Calibri" w:hAnsi="Calibri"/>
                <w:sz w:val="20"/>
              </w:rPr>
              <w:t>-0.013</w:t>
            </w:r>
          </w:p>
        </w:tc>
        <w:tc>
          <w:tcPr>
            <w:tcW w:w="0" w:type="auto"/>
            <w:tcBorders>
              <w:top w:val="single" w:sz="0" w:space="0" w:color="D3D3D3"/>
              <w:left w:val="single" w:sz="0" w:space="0" w:color="D3D3D3"/>
              <w:bottom w:val="single" w:sz="0" w:space="0" w:color="D3D3D3"/>
              <w:right w:val="single" w:sz="0" w:space="0" w:color="D3D3D3"/>
            </w:tcBorders>
          </w:tcPr>
          <w:p w14:paraId="2BCC5D88" w14:textId="77777777" w:rsidR="007F58D0" w:rsidRPr="00EF7DCF" w:rsidRDefault="00C0288F">
            <w:pPr>
              <w:keepNext/>
              <w:spacing w:after="60"/>
              <w:jc w:val="right"/>
            </w:pPr>
            <w:r w:rsidRPr="00EF7DCF">
              <w:rPr>
                <w:rFonts w:ascii="Calibri" w:hAnsi="Calibri"/>
                <w:sz w:val="20"/>
              </w:rPr>
              <w:t>0.003</w:t>
            </w:r>
          </w:p>
        </w:tc>
        <w:tc>
          <w:tcPr>
            <w:tcW w:w="0" w:type="auto"/>
            <w:tcBorders>
              <w:top w:val="single" w:sz="0" w:space="0" w:color="D3D3D3"/>
              <w:left w:val="single" w:sz="0" w:space="0" w:color="D3D3D3"/>
              <w:bottom w:val="single" w:sz="0" w:space="0" w:color="D3D3D3"/>
              <w:right w:val="single" w:sz="0" w:space="0" w:color="D3D3D3"/>
            </w:tcBorders>
          </w:tcPr>
          <w:p w14:paraId="2BCC5D89" w14:textId="77777777" w:rsidR="007F58D0" w:rsidRPr="00EF7DCF" w:rsidRDefault="00C0288F">
            <w:pPr>
              <w:keepNext/>
              <w:spacing w:after="60"/>
              <w:jc w:val="right"/>
            </w:pPr>
            <w:r w:rsidRPr="00EF7DCF">
              <w:rPr>
                <w:rFonts w:ascii="Calibri" w:hAnsi="Calibri"/>
                <w:sz w:val="20"/>
              </w:rPr>
              <w:t>-0.01836867</w:t>
            </w:r>
          </w:p>
        </w:tc>
        <w:tc>
          <w:tcPr>
            <w:tcW w:w="0" w:type="auto"/>
            <w:tcBorders>
              <w:top w:val="single" w:sz="0" w:space="0" w:color="D3D3D3"/>
              <w:left w:val="single" w:sz="0" w:space="0" w:color="D3D3D3"/>
              <w:bottom w:val="single" w:sz="0" w:space="0" w:color="D3D3D3"/>
              <w:right w:val="single" w:sz="0" w:space="0" w:color="D3D3D3"/>
            </w:tcBorders>
          </w:tcPr>
          <w:p w14:paraId="2BCC5D8A" w14:textId="77777777" w:rsidR="007F58D0" w:rsidRPr="00EF7DCF" w:rsidRDefault="00C0288F">
            <w:pPr>
              <w:keepNext/>
              <w:spacing w:after="60"/>
              <w:jc w:val="right"/>
            </w:pPr>
            <w:r w:rsidRPr="00EF7DCF">
              <w:rPr>
                <w:rFonts w:ascii="Calibri" w:hAnsi="Calibri"/>
                <w:sz w:val="20"/>
              </w:rPr>
              <w:t>-0.008104051</w:t>
            </w:r>
          </w:p>
        </w:tc>
      </w:tr>
      <w:tr w:rsidR="00EF7DCF" w:rsidRPr="00EF7DCF" w14:paraId="2BCC5D91"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CC5D8C" w14:textId="77777777" w:rsidR="007F58D0" w:rsidRPr="00EF7DCF" w:rsidRDefault="00C0288F">
            <w:pPr>
              <w:keepNext/>
              <w:spacing w:after="60"/>
            </w:pPr>
            <w:r w:rsidRPr="00EF7DCF">
              <w:rPr>
                <w:rFonts w:ascii="Calibri" w:hAnsi="Calibri"/>
                <w:sz w:val="20"/>
              </w:rPr>
              <w:t>rate</w:t>
            </w:r>
          </w:p>
        </w:tc>
        <w:tc>
          <w:tcPr>
            <w:tcW w:w="0" w:type="auto"/>
            <w:tcBorders>
              <w:top w:val="single" w:sz="0" w:space="0" w:color="D3D3D3"/>
              <w:left w:val="single" w:sz="0" w:space="0" w:color="D3D3D3"/>
              <w:bottom w:val="single" w:sz="0" w:space="0" w:color="D3D3D3"/>
              <w:right w:val="single" w:sz="0" w:space="0" w:color="D3D3D3"/>
            </w:tcBorders>
          </w:tcPr>
          <w:p w14:paraId="2BCC5D8D" w14:textId="77777777" w:rsidR="007F58D0" w:rsidRPr="00EF7DCF" w:rsidRDefault="00C0288F">
            <w:pPr>
              <w:keepNext/>
              <w:spacing w:after="60"/>
              <w:jc w:val="right"/>
            </w:pPr>
            <w:r w:rsidRPr="00EF7DCF">
              <w:rPr>
                <w:rFonts w:ascii="Calibri" w:hAnsi="Calibri"/>
                <w:sz w:val="20"/>
              </w:rPr>
              <w:t>0.044</w:t>
            </w:r>
          </w:p>
        </w:tc>
        <w:tc>
          <w:tcPr>
            <w:tcW w:w="0" w:type="auto"/>
            <w:tcBorders>
              <w:top w:val="single" w:sz="0" w:space="0" w:color="D3D3D3"/>
              <w:left w:val="single" w:sz="0" w:space="0" w:color="D3D3D3"/>
              <w:bottom w:val="single" w:sz="0" w:space="0" w:color="D3D3D3"/>
              <w:right w:val="single" w:sz="0" w:space="0" w:color="D3D3D3"/>
            </w:tcBorders>
          </w:tcPr>
          <w:p w14:paraId="2BCC5D8E" w14:textId="77777777" w:rsidR="007F58D0" w:rsidRPr="00EF7DCF" w:rsidRDefault="00C0288F">
            <w:pPr>
              <w:keepNext/>
              <w:spacing w:after="60"/>
              <w:jc w:val="right"/>
            </w:pPr>
            <w:r w:rsidRPr="00EF7DCF">
              <w:rPr>
                <w:rFonts w:ascii="Calibri" w:hAnsi="Calibri"/>
                <w:sz w:val="20"/>
              </w:rPr>
              <w:t>0.003</w:t>
            </w:r>
          </w:p>
        </w:tc>
        <w:tc>
          <w:tcPr>
            <w:tcW w:w="0" w:type="auto"/>
            <w:tcBorders>
              <w:top w:val="single" w:sz="0" w:space="0" w:color="D3D3D3"/>
              <w:left w:val="single" w:sz="0" w:space="0" w:color="D3D3D3"/>
              <w:bottom w:val="single" w:sz="0" w:space="0" w:color="D3D3D3"/>
              <w:right w:val="single" w:sz="0" w:space="0" w:color="D3D3D3"/>
            </w:tcBorders>
          </w:tcPr>
          <w:p w14:paraId="2BCC5D8F" w14:textId="77777777" w:rsidR="007F58D0" w:rsidRPr="00EF7DCF" w:rsidRDefault="00C0288F">
            <w:pPr>
              <w:keepNext/>
              <w:spacing w:after="60"/>
              <w:jc w:val="right"/>
            </w:pPr>
            <w:r w:rsidRPr="00EF7DCF">
              <w:rPr>
                <w:rFonts w:ascii="Calibri" w:hAnsi="Calibri"/>
                <w:sz w:val="20"/>
              </w:rPr>
              <w:t>0.03935713</w:t>
            </w:r>
          </w:p>
        </w:tc>
        <w:tc>
          <w:tcPr>
            <w:tcW w:w="0" w:type="auto"/>
            <w:tcBorders>
              <w:top w:val="single" w:sz="0" w:space="0" w:color="D3D3D3"/>
              <w:left w:val="single" w:sz="0" w:space="0" w:color="D3D3D3"/>
              <w:bottom w:val="single" w:sz="0" w:space="0" w:color="D3D3D3"/>
              <w:right w:val="single" w:sz="0" w:space="0" w:color="D3D3D3"/>
            </w:tcBorders>
          </w:tcPr>
          <w:p w14:paraId="2BCC5D90" w14:textId="77777777" w:rsidR="007F58D0" w:rsidRPr="00EF7DCF" w:rsidRDefault="00C0288F">
            <w:pPr>
              <w:keepNext/>
              <w:spacing w:after="60"/>
              <w:jc w:val="right"/>
            </w:pPr>
            <w:r w:rsidRPr="00EF7DCF">
              <w:rPr>
                <w:rFonts w:ascii="Calibri" w:hAnsi="Calibri"/>
                <w:sz w:val="20"/>
              </w:rPr>
              <w:t>0.049366152</w:t>
            </w:r>
          </w:p>
        </w:tc>
      </w:tr>
      <w:tr w:rsidR="00EF7DCF" w:rsidRPr="00EF7DCF" w14:paraId="2BCC5D93" w14:textId="77777777">
        <w:trPr>
          <w:cantSplit/>
          <w:jc w:val="center"/>
        </w:trPr>
        <w:tc>
          <w:tcPr>
            <w:tcW w:w="0" w:type="auto"/>
            <w:gridSpan w:val="5"/>
          </w:tcPr>
          <w:p w14:paraId="2BCC5D92" w14:textId="77777777" w:rsidR="007F58D0" w:rsidRPr="00EF7DCF" w:rsidRDefault="00C0288F">
            <w:pPr>
              <w:keepNext/>
              <w:spacing w:after="60"/>
            </w:pPr>
            <w:r w:rsidRPr="00EF7DCF">
              <w:rPr>
                <w:rFonts w:ascii="Calibri" w:hAnsi="Calibri"/>
                <w:sz w:val="20"/>
              </w:rPr>
              <w:t>log-likelihood = -2685.77434017889</w:t>
            </w:r>
          </w:p>
        </w:tc>
      </w:tr>
      <w:tr w:rsidR="00EF7DCF" w:rsidRPr="00EF7DCF" w14:paraId="2BCC5D95" w14:textId="77777777">
        <w:trPr>
          <w:cantSplit/>
          <w:jc w:val="center"/>
        </w:trPr>
        <w:tc>
          <w:tcPr>
            <w:tcW w:w="0" w:type="auto"/>
            <w:gridSpan w:val="5"/>
          </w:tcPr>
          <w:p w14:paraId="2BCC5D94" w14:textId="77777777" w:rsidR="007F58D0" w:rsidRPr="00EF7DCF" w:rsidRDefault="00C0288F">
            <w:pPr>
              <w:keepNext/>
              <w:spacing w:after="60"/>
            </w:pPr>
            <w:r w:rsidRPr="00EF7DCF">
              <w:rPr>
                <w:rFonts w:ascii="Calibri" w:hAnsi="Calibri"/>
                <w:sz w:val="20"/>
              </w:rPr>
              <w:t>AIC = 5375.54868035778</w:t>
            </w:r>
          </w:p>
        </w:tc>
      </w:tr>
      <w:tr w:rsidR="00EF7DCF" w:rsidRPr="00EF7DCF" w14:paraId="2BCC5D97" w14:textId="77777777">
        <w:trPr>
          <w:cantSplit/>
          <w:jc w:val="center"/>
        </w:trPr>
        <w:tc>
          <w:tcPr>
            <w:tcW w:w="0" w:type="auto"/>
            <w:gridSpan w:val="5"/>
          </w:tcPr>
          <w:p w14:paraId="2BCC5D96" w14:textId="77777777" w:rsidR="007F58D0" w:rsidRPr="00EF7DCF" w:rsidRDefault="00C0288F">
            <w:pPr>
              <w:keepNext/>
              <w:spacing w:after="60"/>
            </w:pPr>
            <w:r w:rsidRPr="00EF7DCF">
              <w:rPr>
                <w:rFonts w:ascii="Calibri" w:hAnsi="Calibri"/>
                <w:sz w:val="20"/>
              </w:rPr>
              <w:t>BIC = 5384.9672890383</w:t>
            </w:r>
          </w:p>
        </w:tc>
      </w:tr>
    </w:tbl>
    <w:tbl>
      <w:tblPr>
        <w:tblStyle w:val="Table"/>
        <w:tblW w:w="5000" w:type="pct"/>
        <w:tblLayout w:type="fixed"/>
        <w:tblLook w:val="0020" w:firstRow="1" w:lastRow="0" w:firstColumn="0" w:lastColumn="0" w:noHBand="0" w:noVBand="0"/>
      </w:tblPr>
      <w:tblGrid>
        <w:gridCol w:w="9360"/>
      </w:tblGrid>
      <w:tr w:rsidR="00EF7DCF" w:rsidRPr="00EF7DCF" w14:paraId="2BCC5D9C"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BCC5D98" w14:textId="77777777" w:rsidR="007F58D0" w:rsidRPr="00EF7DCF" w:rsidRDefault="00C0288F">
            <w:pPr>
              <w:pStyle w:val="ImageCaption"/>
              <w:spacing w:before="200"/>
            </w:pPr>
            <w:bookmarkStart w:id="79" w:name="tbl-km-Gompertz-ch2"/>
            <w:r w:rsidRPr="00EF7DCF">
              <w:t>Table 18: Survival model fit summary (Gompertz distribution)</w:t>
            </w:r>
          </w:p>
          <w:bookmarkEnd w:id="79"/>
          <w:p w14:paraId="2BCC5D9B" w14:textId="77777777" w:rsidR="007F58D0" w:rsidRPr="00E860C0" w:rsidRDefault="007F58D0"/>
        </w:tc>
      </w:tr>
    </w:tbl>
    <w:p w14:paraId="2BCC5D9D" w14:textId="77777777" w:rsidR="007F58D0" w:rsidRPr="00EF7DCF" w:rsidRDefault="00C0288F">
      <w:r w:rsidRPr="00EF7DCF">
        <w:br w:type="page"/>
      </w:r>
    </w:p>
    <w:p w14:paraId="2BCC5D9E" w14:textId="77777777" w:rsidR="007F58D0" w:rsidRPr="00EF7DCF" w:rsidRDefault="00C0288F">
      <w:pPr>
        <w:pStyle w:val="Heading3"/>
        <w:rPr>
          <w:color w:val="auto"/>
        </w:rPr>
      </w:pPr>
      <w:bookmarkStart w:id="80" w:name="X3d0a5eedd330cbffe897633bb0b7df42d6d913f"/>
      <w:bookmarkEnd w:id="53"/>
      <w:bookmarkEnd w:id="77"/>
      <w:r w:rsidRPr="00EF7DCF">
        <w:rPr>
          <w:color w:val="auto"/>
        </w:rPr>
        <w:lastRenderedPageBreak/>
        <w:t>Time on treatment - trastuzumab emtansine</w:t>
      </w:r>
    </w:p>
    <w:p w14:paraId="2BCC5D9F" w14:textId="77777777" w:rsidR="007F58D0" w:rsidRPr="00EF7DCF" w:rsidRDefault="00C0288F">
      <w:pPr>
        <w:pStyle w:val="FirstParagraph"/>
      </w:pPr>
      <w:r w:rsidRPr="00EF7DCF">
        <w:t>The Kaplan-Meier plot below shows time-on-treatment (</w:t>
      </w:r>
      <w:proofErr w:type="spellStart"/>
      <w:r w:rsidRPr="00EF7DCF">
        <w:t>ToT</w:t>
      </w:r>
      <w:proofErr w:type="spellEnd"/>
      <w:r w:rsidRPr="00EF7DCF">
        <w:t xml:space="preserve">) for patients receiving trastuzumab emtansine (excluding individuals who subsequently received trastuzumab deruxtecan). The median </w:t>
      </w:r>
      <w:proofErr w:type="spellStart"/>
      <w:r w:rsidRPr="00EF7DCF">
        <w:t>ToT</w:t>
      </w:r>
      <w:proofErr w:type="spellEnd"/>
      <w:r w:rsidRPr="00EF7DCF">
        <w:t xml:space="preserve"> was 6.9 months, CI (6 months, 7.4 months).</w:t>
      </w:r>
    </w:p>
    <w:tbl>
      <w:tblPr>
        <w:tblStyle w:val="Table"/>
        <w:tblW w:w="5000" w:type="pct"/>
        <w:tblLayout w:type="fixed"/>
        <w:tblLook w:val="0020" w:firstRow="1" w:lastRow="0" w:firstColumn="0" w:lastColumn="0" w:noHBand="0" w:noVBand="0"/>
      </w:tblPr>
      <w:tblGrid>
        <w:gridCol w:w="9360"/>
      </w:tblGrid>
      <w:tr w:rsidR="00EF7DCF" w:rsidRPr="00EF7DCF" w14:paraId="2BCC5DA2" w14:textId="77777777" w:rsidTr="00E860C0">
        <w:trPr>
          <w:cnfStyle w:val="100000000000" w:firstRow="1" w:lastRow="0" w:firstColumn="0" w:lastColumn="0" w:oddVBand="0" w:evenVBand="0" w:oddHBand="0" w:evenHBand="0" w:firstRowFirstColumn="0" w:firstRowLastColumn="0" w:lastRowFirstColumn="0" w:lastRowLastColumn="0"/>
        </w:trPr>
        <w:tc>
          <w:tcPr>
            <w:tcW w:w="7920" w:type="dxa"/>
          </w:tcPr>
          <w:p w14:paraId="2A6E1644" w14:textId="77415E7C" w:rsidR="00612EFF" w:rsidRPr="00EF7DCF" w:rsidRDefault="00C0288F">
            <w:pPr>
              <w:pStyle w:val="ImageCaption"/>
              <w:spacing w:before="200"/>
            </w:pPr>
            <w:bookmarkStart w:id="81" w:name="fig-tot-ch2"/>
            <w:r w:rsidRPr="00EF7DCF">
              <w:t>Figure 2</w:t>
            </w:r>
            <w:r w:rsidR="00B61FB8" w:rsidRPr="00EF7DCF">
              <w:t>4</w:t>
            </w:r>
            <w:r w:rsidRPr="00EF7DCF">
              <w:t>: Time-on-treatment for patients receiving trastuzumab emtansine (excluding individuals who subsequently received trastuzumab deruxtecan)</w:t>
            </w:r>
          </w:p>
          <w:p w14:paraId="2BCC5DA1" w14:textId="219BFAB2" w:rsidR="007F58D0" w:rsidRPr="00EF7DCF" w:rsidRDefault="00B13CEA">
            <w:pPr>
              <w:pStyle w:val="Compact"/>
              <w:jc w:val="center"/>
            </w:pPr>
            <w:r w:rsidRPr="00EF7DCF">
              <w:rPr>
                <w:noProof/>
              </w:rPr>
              <w:drawing>
                <wp:inline distT="0" distB="0" distL="0" distR="0" wp14:anchorId="77ED5175" wp14:editId="665AEAB1">
                  <wp:extent cx="4620126" cy="3696101"/>
                  <wp:effectExtent l="0" t="0" r="0" b="0"/>
                  <wp:docPr id="166" name="Picture" title="A Kaplan-Meier plot showing time-on-treatment for individuals who have received trastuzumab emtansine (excluding individuals who subsequently received trastuzumab deruxtecan)."/>
                  <wp:cNvGraphicFramePr/>
                  <a:graphic xmlns:a="http://schemas.openxmlformats.org/drawingml/2006/main">
                    <a:graphicData uri="http://schemas.openxmlformats.org/drawingml/2006/picture">
                      <pic:pic xmlns:pic="http://schemas.openxmlformats.org/drawingml/2006/picture">
                        <pic:nvPicPr>
                          <pic:cNvPr id="167" name="Picture" descr="ID5121_trast_derux_breast_cancer_monthly_ss_files/figure-docx/fig-tot-ch2-1.png"/>
                          <pic:cNvPicPr>
                            <a:picLocks noChangeAspect="1" noChangeArrowheads="1"/>
                          </pic:cNvPicPr>
                        </pic:nvPicPr>
                        <pic:blipFill>
                          <a:blip r:embed="rId34"/>
                          <a:stretch>
                            <a:fillRect/>
                          </a:stretch>
                        </pic:blipFill>
                        <pic:spPr bwMode="auto">
                          <a:xfrm>
                            <a:off x="0" y="0"/>
                            <a:ext cx="4620126" cy="3696101"/>
                          </a:xfrm>
                          <a:prstGeom prst="rect">
                            <a:avLst/>
                          </a:prstGeom>
                          <a:noFill/>
                          <a:ln w="9525">
                            <a:noFill/>
                            <a:headEnd/>
                            <a:tailEnd/>
                          </a:ln>
                        </pic:spPr>
                      </pic:pic>
                    </a:graphicData>
                  </a:graphic>
                </wp:inline>
              </w:drawing>
            </w:r>
          </w:p>
        </w:tc>
        <w:bookmarkEnd w:id="81"/>
      </w:tr>
      <w:bookmarkEnd w:id="42"/>
      <w:bookmarkEnd w:id="49"/>
      <w:bookmarkEnd w:id="80"/>
    </w:tbl>
    <w:p w14:paraId="2BCC5DA3" w14:textId="77777777" w:rsidR="00406F56" w:rsidRPr="00EF7DCF" w:rsidRDefault="00406F56" w:rsidP="00B13CEA"/>
    <w:sectPr w:rsidR="00406F56" w:rsidRPr="00EF7DCF">
      <w:headerReference w:type="default" r:id="rId35"/>
      <w:footerReference w:type="default" r:id="rId36"/>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8D349D" w14:textId="77777777" w:rsidR="00F96EA1" w:rsidRDefault="00F96EA1">
      <w:pPr>
        <w:spacing w:after="0"/>
      </w:pPr>
      <w:r>
        <w:separator/>
      </w:r>
    </w:p>
  </w:endnote>
  <w:endnote w:type="continuationSeparator" w:id="0">
    <w:p w14:paraId="049E60BC" w14:textId="77777777" w:rsidR="00F96EA1" w:rsidRDefault="00F96EA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C5DD0" w14:textId="77777777" w:rsidR="00E365A2" w:rsidRDefault="007517DE" w:rsidP="007517DE">
    <w:pPr>
      <w:pStyle w:val="Footer"/>
      <w:jc w:val="right"/>
    </w:pP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13773A" w14:textId="77777777" w:rsidR="00F96EA1" w:rsidRDefault="00F96EA1">
      <w:pPr>
        <w:spacing w:after="0"/>
      </w:pPr>
      <w:r>
        <w:separator/>
      </w:r>
    </w:p>
  </w:footnote>
  <w:footnote w:type="continuationSeparator" w:id="0">
    <w:p w14:paraId="4FB640E7" w14:textId="77777777" w:rsidR="00F96EA1" w:rsidRDefault="00F96EA1">
      <w:pPr>
        <w:spacing w:after="0"/>
      </w:pPr>
      <w:r>
        <w:continuationSeparator/>
      </w:r>
    </w:p>
  </w:footnote>
  <w:footnote w:id="1">
    <w:p w14:paraId="2BCC5DD5" w14:textId="77777777" w:rsidR="007F58D0" w:rsidRDefault="00C0288F">
      <w:pPr>
        <w:pStyle w:val="FootnoteText"/>
      </w:pPr>
      <w:r>
        <w:rPr>
          <w:rStyle w:val="FootnoteReference"/>
        </w:rPr>
        <w:footnoteRef/>
      </w:r>
      <w:r>
        <w:t xml:space="preserve"> Chloe J. Bright et al., “Data Resource Profile: The Systemic Anti-Cancer Therapy (SACT) dataset,” </w:t>
      </w:r>
      <w:r>
        <w:rPr>
          <w:i/>
          <w:iCs/>
        </w:rPr>
        <w:t>International Journal of Epidemiology</w:t>
      </w:r>
      <w:r>
        <w:t xml:space="preserve"> 49, no. 1 (February 2020): 15–15l, </w:t>
      </w:r>
      <w:hyperlink r:id="rId1">
        <w:r w:rsidR="007F58D0">
          <w:rPr>
            <w:rStyle w:val="Hyperlink"/>
          </w:rPr>
          <w:t>https://dx.doi.org/10.1093/ije/dyz137</w:t>
        </w:r>
      </w:hyperlink>
      <w:r>
        <w:t>.</w:t>
      </w:r>
    </w:p>
  </w:footnote>
  <w:footnote w:id="2">
    <w:p w14:paraId="2BCC5DD6" w14:textId="77777777" w:rsidR="007F58D0" w:rsidRDefault="00C0288F">
      <w:pPr>
        <w:pStyle w:val="FootnoteText"/>
      </w:pPr>
      <w:r>
        <w:rPr>
          <w:rStyle w:val="FootnoteReference"/>
        </w:rPr>
        <w:footnoteRef/>
      </w:r>
      <w:r>
        <w:t xml:space="preserve"> </w:t>
      </w:r>
      <w:r>
        <w:rPr>
          <w:i/>
          <w:iCs/>
        </w:rPr>
        <w:t>NICE health technology evaluations: the manual (2025) NICE process and methods PMG36. Last updated 23 October 2025</w:t>
      </w:r>
      <w:r>
        <w:t xml:space="preserve">, n.d., </w:t>
      </w:r>
      <w:hyperlink r:id="rId2">
        <w:r w:rsidR="007F58D0" w:rsidRPr="00E860C0">
          <w:rPr>
            <w:rStyle w:val="Hyperlink"/>
            <w:color w:val="auto"/>
          </w:rPr>
          <w:t>https://www.nice.org.uk/process/pmg36</w:t>
        </w:r>
      </w:hyperlink>
      <w:r>
        <w:t>.</w:t>
      </w:r>
    </w:p>
  </w:footnote>
  <w:footnote w:id="3">
    <w:p w14:paraId="2BCC5DD7" w14:textId="77777777" w:rsidR="007F58D0" w:rsidRDefault="00C0288F">
      <w:pPr>
        <w:pStyle w:val="FootnoteText"/>
      </w:pPr>
      <w:r>
        <w:rPr>
          <w:rStyle w:val="FootnoteReference"/>
        </w:rPr>
        <w:footnoteRef/>
      </w:r>
      <w:r>
        <w:t xml:space="preserve"> Latimer Nicholas, </w:t>
      </w:r>
      <w:r>
        <w:rPr>
          <w:i/>
          <w:iCs/>
        </w:rPr>
        <w:t>NICE DSU Technical Support Document 14: Undertaking survival analysis for economic evaluations alongside clinical trials - extrapolation with patient-level data</w:t>
      </w:r>
      <w:r>
        <w:t xml:space="preserve">, 2011, </w:t>
      </w:r>
      <w:hyperlink r:id="rId3">
        <w:r w:rsidR="007F58D0" w:rsidRPr="00E860C0">
          <w:rPr>
            <w:rStyle w:val="Hyperlink"/>
            <w:color w:val="auto"/>
          </w:rPr>
          <w:t>http://www.nicedsu.org.uk/</w:t>
        </w:r>
      </w:hyperlink>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C5DCF" w14:textId="77777777" w:rsidR="00FC2CEC" w:rsidRDefault="00FC2CEC">
    <w:pPr>
      <w:pStyle w:val="Header"/>
    </w:pPr>
    <w:r w:rsidRPr="000E748E">
      <w:rPr>
        <w:noProof/>
      </w:rPr>
      <w:drawing>
        <wp:anchor distT="0" distB="0" distL="114300" distR="114300" simplePos="0" relativeHeight="251661312" behindDoc="1" locked="0" layoutInCell="1" allowOverlap="1" wp14:anchorId="2BCC5DD1" wp14:editId="2BCC5DD2">
          <wp:simplePos x="0" y="0"/>
          <wp:positionH relativeFrom="column">
            <wp:posOffset>4340225</wp:posOffset>
          </wp:positionH>
          <wp:positionV relativeFrom="paragraph">
            <wp:posOffset>-117475</wp:posOffset>
          </wp:positionV>
          <wp:extent cx="1590675" cy="534319"/>
          <wp:effectExtent l="0" t="0" r="0" b="0"/>
          <wp:wrapTight wrapText="bothSides">
            <wp:wrapPolygon edited="0">
              <wp:start x="0" y="0"/>
              <wp:lineTo x="0" y="20804"/>
              <wp:lineTo x="21212" y="20804"/>
              <wp:lineTo x="21212" y="0"/>
              <wp:lineTo x="0" y="0"/>
            </wp:wrapPolygon>
          </wp:wrapTight>
          <wp:docPr id="398737293"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737293"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0675" cy="534319"/>
                  </a:xfrm>
                  <a:prstGeom prst="rect">
                    <a:avLst/>
                  </a:prstGeom>
                  <a:noFill/>
                  <a:ln>
                    <a:noFill/>
                  </a:ln>
                </pic:spPr>
              </pic:pic>
            </a:graphicData>
          </a:graphic>
        </wp:anchor>
      </w:drawing>
    </w:r>
    <w:r>
      <w:rPr>
        <w:noProof/>
      </w:rPr>
      <w:drawing>
        <wp:anchor distT="0" distB="0" distL="114300" distR="114300" simplePos="0" relativeHeight="251659264" behindDoc="0" locked="0" layoutInCell="1" allowOverlap="1" wp14:anchorId="2BCC5DD3" wp14:editId="2BCC5DD4">
          <wp:simplePos x="0" y="0"/>
          <wp:positionH relativeFrom="margin">
            <wp:posOffset>0</wp:posOffset>
          </wp:positionH>
          <wp:positionV relativeFrom="topMargin">
            <wp:posOffset>457200</wp:posOffset>
          </wp:positionV>
          <wp:extent cx="2444400" cy="252000"/>
          <wp:effectExtent l="0" t="0" r="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2444400" cy="252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AA8E9A88"/>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FF12F5EA"/>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7D1AE6F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469A17D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851C0D5A"/>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3CC4236"/>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3E0CA32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788A826"/>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040874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4C0F8E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A990"/>
    <w:multiLevelType w:val="multilevel"/>
    <w:tmpl w:val="F5984D1C"/>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1" w15:restartNumberingAfterBreak="0">
    <w:nsid w:val="0000A991"/>
    <w:multiLevelType w:val="multilevel"/>
    <w:tmpl w:val="655012FE"/>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num w:numId="1" w16cid:durableId="1126389124">
    <w:abstractNumId w:val="10"/>
  </w:num>
  <w:num w:numId="2" w16cid:durableId="1085616903">
    <w:abstractNumId w:val="11"/>
  </w:num>
  <w:num w:numId="3" w16cid:durableId="323628995">
    <w:abstractNumId w:val="11"/>
  </w:num>
  <w:num w:numId="4" w16cid:durableId="1691493126">
    <w:abstractNumId w:val="9"/>
  </w:num>
  <w:num w:numId="5" w16cid:durableId="1004942455">
    <w:abstractNumId w:val="7"/>
  </w:num>
  <w:num w:numId="6" w16cid:durableId="2066373257">
    <w:abstractNumId w:val="6"/>
  </w:num>
  <w:num w:numId="7" w16cid:durableId="620068494">
    <w:abstractNumId w:val="5"/>
  </w:num>
  <w:num w:numId="8" w16cid:durableId="1753578916">
    <w:abstractNumId w:val="4"/>
  </w:num>
  <w:num w:numId="9" w16cid:durableId="1044331384">
    <w:abstractNumId w:val="8"/>
  </w:num>
  <w:num w:numId="10" w16cid:durableId="2098357689">
    <w:abstractNumId w:val="3"/>
  </w:num>
  <w:num w:numId="11" w16cid:durableId="1892958354">
    <w:abstractNumId w:val="2"/>
  </w:num>
  <w:num w:numId="12" w16cid:durableId="1202130505">
    <w:abstractNumId w:val="1"/>
  </w:num>
  <w:num w:numId="13" w16cid:durableId="984317019">
    <w:abstractNumId w:val="0"/>
  </w:num>
  <w:num w:numId="14" w16cid:durableId="1759326266">
    <w:abstractNumId w:val="10"/>
  </w:num>
  <w:num w:numId="15" w16cid:durableId="1939294173">
    <w:abstractNumId w:val="11"/>
  </w:num>
  <w:num w:numId="16" w16cid:durableId="1276984461">
    <w:abstractNumId w:val="11"/>
  </w:num>
  <w:num w:numId="17" w16cid:durableId="182518294">
    <w:abstractNumId w:val="11"/>
  </w:num>
  <w:num w:numId="18" w16cid:durableId="14205617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32B"/>
    <w:rsid w:val="00005734"/>
    <w:rsid w:val="0002132B"/>
    <w:rsid w:val="000579B6"/>
    <w:rsid w:val="00124385"/>
    <w:rsid w:val="00133BDE"/>
    <w:rsid w:val="001437CD"/>
    <w:rsid w:val="001C37BF"/>
    <w:rsid w:val="001D2B69"/>
    <w:rsid w:val="001D6CD8"/>
    <w:rsid w:val="001F0F2C"/>
    <w:rsid w:val="002703C1"/>
    <w:rsid w:val="002732C6"/>
    <w:rsid w:val="002B6EC4"/>
    <w:rsid w:val="002E008D"/>
    <w:rsid w:val="002E0FD7"/>
    <w:rsid w:val="002F4342"/>
    <w:rsid w:val="003300D3"/>
    <w:rsid w:val="00396F6C"/>
    <w:rsid w:val="003D6D1E"/>
    <w:rsid w:val="003F1270"/>
    <w:rsid w:val="00403905"/>
    <w:rsid w:val="00406F56"/>
    <w:rsid w:val="004169B2"/>
    <w:rsid w:val="004250E8"/>
    <w:rsid w:val="00431D63"/>
    <w:rsid w:val="004A1FB6"/>
    <w:rsid w:val="004B218C"/>
    <w:rsid w:val="004D107B"/>
    <w:rsid w:val="00531D0B"/>
    <w:rsid w:val="00612EFF"/>
    <w:rsid w:val="0063034C"/>
    <w:rsid w:val="00665DD0"/>
    <w:rsid w:val="007430F7"/>
    <w:rsid w:val="007517DE"/>
    <w:rsid w:val="00757ADB"/>
    <w:rsid w:val="007656B1"/>
    <w:rsid w:val="007F58D0"/>
    <w:rsid w:val="008229D6"/>
    <w:rsid w:val="00836486"/>
    <w:rsid w:val="0085758B"/>
    <w:rsid w:val="008A51FA"/>
    <w:rsid w:val="008D1124"/>
    <w:rsid w:val="008D75BB"/>
    <w:rsid w:val="00915242"/>
    <w:rsid w:val="009478B5"/>
    <w:rsid w:val="009574D1"/>
    <w:rsid w:val="009F1B80"/>
    <w:rsid w:val="00A31305"/>
    <w:rsid w:val="00A61335"/>
    <w:rsid w:val="00AB2B2D"/>
    <w:rsid w:val="00AF7E1C"/>
    <w:rsid w:val="00B13CEA"/>
    <w:rsid w:val="00B61FB8"/>
    <w:rsid w:val="00B74C36"/>
    <w:rsid w:val="00C0288F"/>
    <w:rsid w:val="00C34823"/>
    <w:rsid w:val="00C5594C"/>
    <w:rsid w:val="00C62571"/>
    <w:rsid w:val="00CB0A98"/>
    <w:rsid w:val="00CB10C8"/>
    <w:rsid w:val="00CD40D2"/>
    <w:rsid w:val="00CD4777"/>
    <w:rsid w:val="00CE43C1"/>
    <w:rsid w:val="00D35E83"/>
    <w:rsid w:val="00E365A2"/>
    <w:rsid w:val="00E77453"/>
    <w:rsid w:val="00E860C0"/>
    <w:rsid w:val="00EA3763"/>
    <w:rsid w:val="00EB3A9E"/>
    <w:rsid w:val="00EC2BAB"/>
    <w:rsid w:val="00ED0323"/>
    <w:rsid w:val="00ED4A30"/>
    <w:rsid w:val="00EF7DCF"/>
    <w:rsid w:val="00F14BB9"/>
    <w:rsid w:val="00F43F28"/>
    <w:rsid w:val="00F45C0A"/>
    <w:rsid w:val="00F50627"/>
    <w:rsid w:val="00F5167A"/>
    <w:rsid w:val="00F96EA1"/>
    <w:rsid w:val="00FA4C41"/>
    <w:rsid w:val="00FC2C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CC5AF4"/>
  <w15:docId w15:val="{4AF4822D-85CD-4AB8-AB6D-907A1DA91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Light" w:uiPriority="40"/>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uiPriority w:val="9"/>
    <w:qFormat/>
    <w:rsid w:val="00CB10C8"/>
    <w:pPr>
      <w:keepNext/>
      <w:keepLines/>
      <w:spacing w:before="480" w:after="0"/>
      <w:jc w:val="center"/>
      <w:outlineLvl w:val="0"/>
    </w:pPr>
    <w:rPr>
      <w:rFonts w:asciiTheme="majorHAnsi" w:eastAsiaTheme="majorEastAsia" w:hAnsiTheme="majorHAnsi" w:cstheme="majorBidi"/>
      <w:b/>
      <w:bCs/>
      <w:color w:val="4F81BD" w:themeColor="accent1"/>
      <w:sz w:val="36"/>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28"/>
      <w:szCs w:val="28"/>
    </w:rPr>
  </w:style>
  <w:style w:type="paragraph" w:styleId="Heading3">
    <w:name w:val="heading 3"/>
    <w:basedOn w:val="Normal"/>
    <w:next w:val="BodyText"/>
    <w:link w:val="Heading3Char"/>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BodyText"/>
    <w:uiPriority w:val="9"/>
    <w:unhideWhenUsed/>
    <w:qFormat/>
    <w:pPr>
      <w:keepNext/>
      <w:keepLines/>
      <w:spacing w:before="200" w:after="0"/>
      <w:outlineLvl w:val="3"/>
    </w:pPr>
    <w:rPr>
      <w:rFonts w:asciiTheme="majorHAnsi" w:eastAsiaTheme="majorEastAsia" w:hAnsiTheme="majorHAnsi" w:cstheme="majorBidi"/>
      <w:bCs/>
      <w:i/>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Heading7">
    <w:name w:val="heading 7"/>
    <w:basedOn w:val="Normal"/>
    <w:next w:val="BodyText"/>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Heading8">
    <w:name w:val="heading 8"/>
    <w:basedOn w:val="Normal"/>
    <w:next w:val="BodyText"/>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Heading9">
    <w:name w:val="heading 9"/>
    <w:basedOn w:val="Normal"/>
    <w:next w:val="BodyText"/>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color w:val="345A8A"/>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shd w:val="clear" w:color="auto" w:fill="F1F3F5"/>
      <w:wordWrap w:val="0"/>
    </w:pPr>
  </w:style>
  <w:style w:type="character" w:customStyle="1" w:styleId="KeywordTok">
    <w:name w:val="KeywordTok"/>
    <w:basedOn w:val="VerbatimChar"/>
    <w:rPr>
      <w:rFonts w:ascii="Consolas" w:hAnsi="Consolas"/>
      <w:color w:val="003B4F"/>
      <w:sz w:val="22"/>
      <w:shd w:val="clear" w:color="auto" w:fill="F1F3F5"/>
    </w:rPr>
  </w:style>
  <w:style w:type="character" w:customStyle="1" w:styleId="DataTypeTok">
    <w:name w:val="DataTypeTok"/>
    <w:basedOn w:val="VerbatimChar"/>
    <w:rPr>
      <w:rFonts w:ascii="Consolas" w:hAnsi="Consolas"/>
      <w:color w:val="AD0000"/>
      <w:sz w:val="22"/>
      <w:shd w:val="clear" w:color="auto" w:fill="F1F3F5"/>
    </w:rPr>
  </w:style>
  <w:style w:type="character" w:customStyle="1" w:styleId="DecValTok">
    <w:name w:val="DecValTok"/>
    <w:basedOn w:val="VerbatimChar"/>
    <w:rPr>
      <w:rFonts w:ascii="Consolas" w:hAnsi="Consolas"/>
      <w:color w:val="AD0000"/>
      <w:sz w:val="22"/>
      <w:shd w:val="clear" w:color="auto" w:fill="F1F3F5"/>
    </w:rPr>
  </w:style>
  <w:style w:type="character" w:customStyle="1" w:styleId="BaseNTok">
    <w:name w:val="BaseNTok"/>
    <w:basedOn w:val="VerbatimChar"/>
    <w:rPr>
      <w:rFonts w:ascii="Consolas" w:hAnsi="Consolas"/>
      <w:color w:val="AD0000"/>
      <w:sz w:val="22"/>
      <w:shd w:val="clear" w:color="auto" w:fill="F1F3F5"/>
    </w:rPr>
  </w:style>
  <w:style w:type="character" w:customStyle="1" w:styleId="FloatTok">
    <w:name w:val="FloatTok"/>
    <w:basedOn w:val="VerbatimChar"/>
    <w:rPr>
      <w:rFonts w:ascii="Consolas" w:hAnsi="Consolas"/>
      <w:color w:val="AD0000"/>
      <w:sz w:val="22"/>
      <w:shd w:val="clear" w:color="auto" w:fill="F1F3F5"/>
    </w:rPr>
  </w:style>
  <w:style w:type="character" w:customStyle="1" w:styleId="ConstantTok">
    <w:name w:val="ConstantTok"/>
    <w:basedOn w:val="VerbatimChar"/>
    <w:rPr>
      <w:rFonts w:ascii="Consolas" w:hAnsi="Consolas"/>
      <w:color w:val="8F5902"/>
      <w:sz w:val="22"/>
      <w:shd w:val="clear" w:color="auto" w:fill="F1F3F5"/>
    </w:rPr>
  </w:style>
  <w:style w:type="character" w:customStyle="1" w:styleId="CharTok">
    <w:name w:val="CharTok"/>
    <w:basedOn w:val="VerbatimChar"/>
    <w:rPr>
      <w:rFonts w:ascii="Consolas" w:hAnsi="Consolas"/>
      <w:color w:val="20794D"/>
      <w:sz w:val="22"/>
      <w:shd w:val="clear" w:color="auto" w:fill="F1F3F5"/>
    </w:rPr>
  </w:style>
  <w:style w:type="character" w:customStyle="1" w:styleId="SpecialCharTok">
    <w:name w:val="SpecialCharTok"/>
    <w:basedOn w:val="VerbatimChar"/>
    <w:rPr>
      <w:rFonts w:ascii="Consolas" w:hAnsi="Consolas"/>
      <w:color w:val="5E5E5E"/>
      <w:sz w:val="22"/>
      <w:shd w:val="clear" w:color="auto" w:fill="F1F3F5"/>
    </w:rPr>
  </w:style>
  <w:style w:type="character" w:customStyle="1" w:styleId="StringTok">
    <w:name w:val="StringTok"/>
    <w:basedOn w:val="VerbatimChar"/>
    <w:rPr>
      <w:rFonts w:ascii="Consolas" w:hAnsi="Consolas"/>
      <w:color w:val="20794D"/>
      <w:sz w:val="22"/>
      <w:shd w:val="clear" w:color="auto" w:fill="F1F3F5"/>
    </w:rPr>
  </w:style>
  <w:style w:type="character" w:customStyle="1" w:styleId="VerbatimStringTok">
    <w:name w:val="VerbatimStringTok"/>
    <w:basedOn w:val="VerbatimChar"/>
    <w:rPr>
      <w:rFonts w:ascii="Consolas" w:hAnsi="Consolas"/>
      <w:color w:val="20794D"/>
      <w:sz w:val="22"/>
      <w:shd w:val="clear" w:color="auto" w:fill="F1F3F5"/>
    </w:rPr>
  </w:style>
  <w:style w:type="character" w:customStyle="1" w:styleId="SpecialStringTok">
    <w:name w:val="SpecialStringTok"/>
    <w:basedOn w:val="VerbatimChar"/>
    <w:rPr>
      <w:rFonts w:ascii="Consolas" w:hAnsi="Consolas"/>
      <w:color w:val="20794D"/>
      <w:sz w:val="22"/>
      <w:shd w:val="clear" w:color="auto" w:fill="F1F3F5"/>
    </w:rPr>
  </w:style>
  <w:style w:type="character" w:customStyle="1" w:styleId="ImportTok">
    <w:name w:val="ImportTok"/>
    <w:basedOn w:val="VerbatimChar"/>
    <w:rPr>
      <w:rFonts w:ascii="Consolas" w:hAnsi="Consolas"/>
      <w:color w:val="00769E"/>
      <w:sz w:val="22"/>
      <w:shd w:val="clear" w:color="auto" w:fill="F1F3F5"/>
    </w:rPr>
  </w:style>
  <w:style w:type="character" w:customStyle="1" w:styleId="CommentTok">
    <w:name w:val="CommentTok"/>
    <w:basedOn w:val="VerbatimChar"/>
    <w:rPr>
      <w:rFonts w:ascii="Consolas" w:hAnsi="Consolas"/>
      <w:color w:val="5E5E5E"/>
      <w:sz w:val="22"/>
      <w:shd w:val="clear" w:color="auto" w:fill="F1F3F5"/>
    </w:rPr>
  </w:style>
  <w:style w:type="character" w:customStyle="1" w:styleId="DocumentationTok">
    <w:name w:val="DocumentationTok"/>
    <w:basedOn w:val="VerbatimChar"/>
    <w:rPr>
      <w:rFonts w:ascii="Consolas" w:hAnsi="Consolas"/>
      <w:i/>
      <w:color w:val="5E5E5E"/>
      <w:sz w:val="22"/>
      <w:shd w:val="clear" w:color="auto" w:fill="F1F3F5"/>
    </w:rPr>
  </w:style>
  <w:style w:type="character" w:customStyle="1" w:styleId="AnnotationTok">
    <w:name w:val="AnnotationTok"/>
    <w:basedOn w:val="VerbatimChar"/>
    <w:rPr>
      <w:rFonts w:ascii="Consolas" w:hAnsi="Consolas"/>
      <w:color w:val="5E5E5E"/>
      <w:sz w:val="22"/>
      <w:shd w:val="clear" w:color="auto" w:fill="F1F3F5"/>
    </w:rPr>
  </w:style>
  <w:style w:type="character" w:customStyle="1" w:styleId="CommentVarTok">
    <w:name w:val="CommentVarTok"/>
    <w:basedOn w:val="VerbatimChar"/>
    <w:rPr>
      <w:rFonts w:ascii="Consolas" w:hAnsi="Consolas"/>
      <w:i/>
      <w:color w:val="5E5E5E"/>
      <w:sz w:val="22"/>
      <w:shd w:val="clear" w:color="auto" w:fill="F1F3F5"/>
    </w:rPr>
  </w:style>
  <w:style w:type="character" w:customStyle="1" w:styleId="OtherTok">
    <w:name w:val="OtherTok"/>
    <w:basedOn w:val="VerbatimChar"/>
    <w:rPr>
      <w:rFonts w:ascii="Consolas" w:hAnsi="Consolas"/>
      <w:color w:val="003B4F"/>
      <w:sz w:val="22"/>
      <w:shd w:val="clear" w:color="auto" w:fill="F1F3F5"/>
    </w:rPr>
  </w:style>
  <w:style w:type="character" w:customStyle="1" w:styleId="FunctionTok">
    <w:name w:val="FunctionTok"/>
    <w:basedOn w:val="VerbatimChar"/>
    <w:rPr>
      <w:rFonts w:ascii="Consolas" w:hAnsi="Consolas"/>
      <w:color w:val="4758AB"/>
      <w:sz w:val="22"/>
      <w:shd w:val="clear" w:color="auto" w:fill="F1F3F5"/>
    </w:rPr>
  </w:style>
  <w:style w:type="character" w:customStyle="1" w:styleId="VariableTok">
    <w:name w:val="VariableTok"/>
    <w:basedOn w:val="VerbatimChar"/>
    <w:rPr>
      <w:rFonts w:ascii="Consolas" w:hAnsi="Consolas"/>
      <w:color w:val="111111"/>
      <w:sz w:val="22"/>
      <w:shd w:val="clear" w:color="auto" w:fill="F1F3F5"/>
    </w:rPr>
  </w:style>
  <w:style w:type="character" w:customStyle="1" w:styleId="ControlFlowTok">
    <w:name w:val="ControlFlowTok"/>
    <w:basedOn w:val="VerbatimChar"/>
    <w:rPr>
      <w:rFonts w:ascii="Consolas" w:hAnsi="Consolas"/>
      <w:color w:val="003B4F"/>
      <w:sz w:val="22"/>
      <w:shd w:val="clear" w:color="auto" w:fill="F1F3F5"/>
    </w:rPr>
  </w:style>
  <w:style w:type="character" w:customStyle="1" w:styleId="OperatorTok">
    <w:name w:val="OperatorTok"/>
    <w:basedOn w:val="VerbatimChar"/>
    <w:rPr>
      <w:rFonts w:ascii="Consolas" w:hAnsi="Consolas"/>
      <w:color w:val="5E5E5E"/>
      <w:sz w:val="22"/>
      <w:shd w:val="clear" w:color="auto" w:fill="F1F3F5"/>
    </w:rPr>
  </w:style>
  <w:style w:type="character" w:customStyle="1" w:styleId="BuiltInTok">
    <w:name w:val="BuiltInTok"/>
    <w:basedOn w:val="VerbatimChar"/>
    <w:rPr>
      <w:rFonts w:ascii="Consolas" w:hAnsi="Consolas"/>
      <w:color w:val="003B4F"/>
      <w:sz w:val="22"/>
      <w:shd w:val="clear" w:color="auto" w:fill="F1F3F5"/>
    </w:rPr>
  </w:style>
  <w:style w:type="character" w:customStyle="1" w:styleId="ExtensionTok">
    <w:name w:val="ExtensionTok"/>
    <w:basedOn w:val="VerbatimChar"/>
    <w:rPr>
      <w:rFonts w:ascii="Consolas" w:hAnsi="Consolas"/>
      <w:color w:val="003B4F"/>
      <w:sz w:val="22"/>
      <w:shd w:val="clear" w:color="auto" w:fill="F1F3F5"/>
    </w:rPr>
  </w:style>
  <w:style w:type="character" w:customStyle="1" w:styleId="PreprocessorTok">
    <w:name w:val="PreprocessorTok"/>
    <w:basedOn w:val="VerbatimChar"/>
    <w:rPr>
      <w:rFonts w:ascii="Consolas" w:hAnsi="Consolas"/>
      <w:color w:val="AD0000"/>
      <w:sz w:val="22"/>
      <w:shd w:val="clear" w:color="auto" w:fill="F1F3F5"/>
    </w:rPr>
  </w:style>
  <w:style w:type="character" w:customStyle="1" w:styleId="AttributeTok">
    <w:name w:val="AttributeTok"/>
    <w:basedOn w:val="VerbatimChar"/>
    <w:rPr>
      <w:rFonts w:ascii="Consolas" w:hAnsi="Consolas"/>
      <w:color w:val="657422"/>
      <w:sz w:val="22"/>
      <w:shd w:val="clear" w:color="auto" w:fill="F1F3F5"/>
    </w:rPr>
  </w:style>
  <w:style w:type="character" w:customStyle="1" w:styleId="RegionMarkerTok">
    <w:name w:val="RegionMarkerTok"/>
    <w:basedOn w:val="VerbatimChar"/>
    <w:rPr>
      <w:rFonts w:ascii="Consolas" w:hAnsi="Consolas"/>
      <w:color w:val="003B4F"/>
      <w:sz w:val="22"/>
      <w:shd w:val="clear" w:color="auto" w:fill="F1F3F5"/>
    </w:rPr>
  </w:style>
  <w:style w:type="character" w:customStyle="1" w:styleId="InformationTok">
    <w:name w:val="InformationTok"/>
    <w:basedOn w:val="VerbatimChar"/>
    <w:rPr>
      <w:rFonts w:ascii="Consolas" w:hAnsi="Consolas"/>
      <w:color w:val="5E5E5E"/>
      <w:sz w:val="22"/>
      <w:shd w:val="clear" w:color="auto" w:fill="F1F3F5"/>
    </w:rPr>
  </w:style>
  <w:style w:type="character" w:customStyle="1" w:styleId="WarningTok">
    <w:name w:val="WarningTok"/>
    <w:basedOn w:val="VerbatimChar"/>
    <w:rPr>
      <w:rFonts w:ascii="Consolas" w:hAnsi="Consolas"/>
      <w:i/>
      <w:color w:val="5E5E5E"/>
      <w:sz w:val="22"/>
      <w:shd w:val="clear" w:color="auto" w:fill="F1F3F5"/>
    </w:rPr>
  </w:style>
  <w:style w:type="character" w:customStyle="1" w:styleId="AlertTok">
    <w:name w:val="AlertTok"/>
    <w:basedOn w:val="VerbatimChar"/>
    <w:rPr>
      <w:rFonts w:ascii="Consolas" w:hAnsi="Consolas"/>
      <w:color w:val="AD0000"/>
      <w:sz w:val="22"/>
      <w:shd w:val="clear" w:color="auto" w:fill="F1F3F5"/>
    </w:rPr>
  </w:style>
  <w:style w:type="character" w:customStyle="1" w:styleId="ErrorTok">
    <w:name w:val="ErrorTok"/>
    <w:basedOn w:val="VerbatimChar"/>
    <w:rPr>
      <w:rFonts w:ascii="Consolas" w:hAnsi="Consolas"/>
      <w:color w:val="AD0000"/>
      <w:sz w:val="22"/>
      <w:shd w:val="clear" w:color="auto" w:fill="F1F3F5"/>
    </w:rPr>
  </w:style>
  <w:style w:type="character" w:customStyle="1" w:styleId="NormalTok">
    <w:name w:val="NormalTok"/>
    <w:basedOn w:val="VerbatimChar"/>
    <w:rPr>
      <w:rFonts w:ascii="Consolas" w:hAnsi="Consolas"/>
      <w:color w:val="003B4F"/>
      <w:sz w:val="22"/>
      <w:shd w:val="clear" w:color="auto" w:fill="F1F3F5"/>
    </w:rPr>
  </w:style>
  <w:style w:type="paragraph" w:styleId="Header">
    <w:name w:val="header"/>
    <w:basedOn w:val="Normal"/>
    <w:link w:val="HeaderChar"/>
    <w:rsid w:val="00FC2CEC"/>
    <w:pPr>
      <w:tabs>
        <w:tab w:val="center" w:pos="4513"/>
        <w:tab w:val="right" w:pos="9026"/>
      </w:tabs>
      <w:spacing w:after="0"/>
    </w:pPr>
  </w:style>
  <w:style w:type="character" w:customStyle="1" w:styleId="HeaderChar">
    <w:name w:val="Header Char"/>
    <w:basedOn w:val="DefaultParagraphFont"/>
    <w:link w:val="Header"/>
    <w:rsid w:val="00FC2CEC"/>
  </w:style>
  <w:style w:type="paragraph" w:styleId="Footer">
    <w:name w:val="footer"/>
    <w:basedOn w:val="Normal"/>
    <w:link w:val="FooterChar"/>
    <w:rsid w:val="00FC2CEC"/>
    <w:pPr>
      <w:tabs>
        <w:tab w:val="center" w:pos="4513"/>
        <w:tab w:val="right" w:pos="9026"/>
      </w:tabs>
      <w:spacing w:after="0"/>
    </w:pPr>
  </w:style>
  <w:style w:type="character" w:customStyle="1" w:styleId="FooterChar">
    <w:name w:val="Footer Char"/>
    <w:basedOn w:val="DefaultParagraphFont"/>
    <w:link w:val="Footer"/>
    <w:rsid w:val="00FC2CEC"/>
  </w:style>
  <w:style w:type="character" w:customStyle="1" w:styleId="BodyTextChar">
    <w:name w:val="Body Text Char"/>
    <w:basedOn w:val="DefaultParagraphFont"/>
    <w:link w:val="BodyText"/>
    <w:rsid w:val="00CB10C8"/>
  </w:style>
  <w:style w:type="character" w:customStyle="1" w:styleId="Heading3Char">
    <w:name w:val="Heading 3 Char"/>
    <w:basedOn w:val="DefaultParagraphFont"/>
    <w:link w:val="Heading3"/>
    <w:uiPriority w:val="9"/>
    <w:rsid w:val="001D2B69"/>
    <w:rPr>
      <w:rFonts w:asciiTheme="majorHAnsi" w:eastAsiaTheme="majorEastAsia" w:hAnsiTheme="majorHAnsi" w:cstheme="majorBidi"/>
      <w:b/>
      <w:bCs/>
      <w:color w:val="4F81BD" w:themeColor="accent1"/>
    </w:rPr>
  </w:style>
  <w:style w:type="table" w:styleId="TableGridLight">
    <w:name w:val="Grid Table Light"/>
    <w:basedOn w:val="TableNormal"/>
    <w:uiPriority w:val="40"/>
    <w:rsid w:val="001D6CD8"/>
    <w:pPr>
      <w:spacing w:after="0"/>
    </w:pPr>
    <w:rPr>
      <w:rFonts w:ascii="Times New Roman" w:eastAsia="Times New Roman" w:hAnsi="Times New Roman" w:cs="Times New Roman"/>
      <w:sz w:val="20"/>
      <w:szCs w:val="20"/>
      <w:lang w:val="en-GB" w:eastAsia="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21" Type="http://schemas.openxmlformats.org/officeDocument/2006/relationships/image" Target="media/image11.png"/><Relationship Id="rId34" Type="http://schemas.openxmlformats.org/officeDocument/2006/relationships/image" Target="media/image24.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3" Type="http://schemas.openxmlformats.org/officeDocument/2006/relationships/hyperlink" Target="http://www.nicedsu.org.uk/" TargetMode="External"/><Relationship Id="rId2" Type="http://schemas.openxmlformats.org/officeDocument/2006/relationships/hyperlink" Target="https://www.nice.org.uk/process/pmg36" TargetMode="External"/><Relationship Id="rId1" Type="http://schemas.openxmlformats.org/officeDocument/2006/relationships/hyperlink" Target="https://dx.doi.org/10.1093/ije/dyz137"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6.png"/><Relationship Id="rId1" Type="http://schemas.openxmlformats.org/officeDocument/2006/relationships/image" Target="media/image2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1aadd836-80f1-47a2-9236-7bacc5907cb7" xsi:nil="true"/>
    <_ip_UnifiedCompliancePolicyProperties xmlns="http://schemas.microsoft.com/sharepoint/v3" xsi:nil="true"/>
    <lcf76f155ced4ddcb4097134ff3c332f xmlns="684165cd-842c-43c4-a495-7af445cdea15">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E23CB2CFF5870459BFB2D78F57472D6" ma:contentTypeVersion="15" ma:contentTypeDescription="Create a new document." ma:contentTypeScope="" ma:versionID="cd5799cbbfa639d442fba2f5434f71b9">
  <xsd:schema xmlns:xsd="http://www.w3.org/2001/XMLSchema" xmlns:xs="http://www.w3.org/2001/XMLSchema" xmlns:p="http://schemas.microsoft.com/office/2006/metadata/properties" xmlns:ns1="http://schemas.microsoft.com/sharepoint/v3" xmlns:ns2="1aadd836-80f1-47a2-9236-7bacc5907cb7" xmlns:ns3="684165cd-842c-43c4-a495-7af445cdea15" targetNamespace="http://schemas.microsoft.com/office/2006/metadata/properties" ma:root="true" ma:fieldsID="4f6337f8995200a8da45c59caf85790e" ns1:_="" ns2:_="" ns3:_="">
    <xsd:import namespace="http://schemas.microsoft.com/sharepoint/v3"/>
    <xsd:import namespace="1aadd836-80f1-47a2-9236-7bacc5907cb7"/>
    <xsd:import namespace="684165cd-842c-43c4-a495-7af445cdea1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1:_ip_UnifiedCompliancePolicyProperties" minOccurs="0"/>
                <xsd:element ref="ns1:_ip_UnifiedCompliancePolicyUIAction"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SearchPropertie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add836-80f1-47a2-9236-7bacc5907cb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58a6c7ad-bc9e-47cd-8baa-0cd375ee5e2b}" ma:internalName="TaxCatchAll" ma:showField="CatchAllData" ma:web="1aadd836-80f1-47a2-9236-7bacc5907cb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84165cd-842c-43c4-a495-7af445cdea1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DateTaken" ma:index="22"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4685A46-B966-4B9A-B16A-C9C75AE25EA6}">
  <ds:schemaRefs>
    <ds:schemaRef ds:uri="http://schemas.microsoft.com/sharepoint/v3/contenttype/forms"/>
  </ds:schemaRefs>
</ds:datastoreItem>
</file>

<file path=customXml/itemProps2.xml><?xml version="1.0" encoding="utf-8"?>
<ds:datastoreItem xmlns:ds="http://schemas.openxmlformats.org/officeDocument/2006/customXml" ds:itemID="{9B38487F-09C9-4274-9EBB-D55AA828FF93}">
  <ds:schemaRefs>
    <ds:schemaRef ds:uri="http://schemas.openxmlformats.org/officeDocument/2006/bibliography"/>
  </ds:schemaRefs>
</ds:datastoreItem>
</file>

<file path=customXml/itemProps3.xml><?xml version="1.0" encoding="utf-8"?>
<ds:datastoreItem xmlns:ds="http://schemas.openxmlformats.org/officeDocument/2006/customXml" ds:itemID="{ECB6AF33-3D60-41F0-9E1A-704EDDBB8C6E}">
  <ds:schemaRefs>
    <ds:schemaRef ds:uri="http://schemas.microsoft.com/office/2006/metadata/properties"/>
    <ds:schemaRef ds:uri="http://schemas.microsoft.com/office/infopath/2007/PartnerControls"/>
    <ds:schemaRef ds:uri="http://schemas.microsoft.com/sharepoint/v3"/>
    <ds:schemaRef ds:uri="1aadd836-80f1-47a2-9236-7bacc5907cb7"/>
    <ds:schemaRef ds:uri="684165cd-842c-43c4-a495-7af445cdea15"/>
  </ds:schemaRefs>
</ds:datastoreItem>
</file>

<file path=customXml/itemProps4.xml><?xml version="1.0" encoding="utf-8"?>
<ds:datastoreItem xmlns:ds="http://schemas.openxmlformats.org/officeDocument/2006/customXml" ds:itemID="{61D153BE-BEEF-4BE8-96CA-0B61ECF286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aadd836-80f1-47a2-9236-7bacc5907cb7"/>
    <ds:schemaRef ds:uri="684165cd-842c-43c4-a495-7af445cdea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29</Pages>
  <Words>2747</Words>
  <Characters>15663</Characters>
  <Application>Microsoft Office Word</Application>
  <DocSecurity>0</DocSecurity>
  <Lines>130</Lines>
  <Paragraphs>36</Paragraphs>
  <ScaleCrop>false</ScaleCrop>
  <Company>NHS</Company>
  <LinksUpToDate>false</LinksUpToDate>
  <CharactersWithSpaces>18374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THACKRAY, Katherine (NHS ENGLAND)</dc:creator>
  <cp:keywords/>
  <cp:lastModifiedBy>MAKIN, William (NHS ENGLAND)</cp:lastModifiedBy>
  <cp:revision>3</cp:revision>
  <dcterms:created xsi:type="dcterms:W3CDTF">2026-05-13T08:46:00Z</dcterms:created>
  <dcterms:modified xsi:type="dcterms:W3CDTF">2026-05-13T08:51:00Z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blio-config">
    <vt:lpwstr>True</vt:lpwstr>
  </property>
  <property fmtid="{D5CDD505-2E9C-101B-9397-08002B2CF9AE}" pid="3" name="bibliography">
    <vt:lpwstr>ta_refs.bib</vt:lpwstr>
  </property>
  <property fmtid="{D5CDD505-2E9C-101B-9397-08002B2CF9AE}" pid="4" name="csl">
    <vt:lpwstr>chicago-note.csl</vt:lpwstr>
  </property>
  <property fmtid="{D5CDD505-2E9C-101B-9397-08002B2CF9AE}" pid="5" name="execute">
    <vt:lpwstr/>
  </property>
  <property fmtid="{D5CDD505-2E9C-101B-9397-08002B2CF9AE}" pid="6" name="fig-cap-location">
    <vt:lpwstr>top</vt:lpwstr>
  </property>
  <property fmtid="{D5CDD505-2E9C-101B-9397-08002B2CF9AE}" pid="7" name="header-includes">
    <vt:lpwstr/>
  </property>
  <property fmtid="{D5CDD505-2E9C-101B-9397-08002B2CF9AE}" pid="8" name="include-after">
    <vt:lpwstr/>
  </property>
  <property fmtid="{D5CDD505-2E9C-101B-9397-08002B2CF9AE}" pid="9" name="include-before">
    <vt:lpwstr/>
  </property>
  <property fmtid="{D5CDD505-2E9C-101B-9397-08002B2CF9AE}" pid="10" name="labels">
    <vt:lpwstr/>
  </property>
  <property fmtid="{D5CDD505-2E9C-101B-9397-08002B2CF9AE}" pid="11" name="pagetitle">
    <vt:lpwstr>Age and Overall Survival for HER2-positive unresectable or metastatic breast cancer</vt:lpwstr>
  </property>
  <property fmtid="{D5CDD505-2E9C-101B-9397-08002B2CF9AE}" pid="12" name="tbl-cap-location">
    <vt:lpwstr>top</vt:lpwstr>
  </property>
  <property fmtid="{D5CDD505-2E9C-101B-9397-08002B2CF9AE}" pid="13" name="toc-title">
    <vt:lpwstr>Table of contents</vt:lpwstr>
  </property>
  <property fmtid="{D5CDD505-2E9C-101B-9397-08002B2CF9AE}" pid="14" name="ContentTypeId">
    <vt:lpwstr>0x0101006E23CB2CFF5870459BFB2D78F57472D6</vt:lpwstr>
  </property>
  <property fmtid="{D5CDD505-2E9C-101B-9397-08002B2CF9AE}" pid="15" name="MSIP_Label_c69d85d5-6d9e-4305-a294-1f636ec0f2d6_Enabled">
    <vt:lpwstr>true</vt:lpwstr>
  </property>
  <property fmtid="{D5CDD505-2E9C-101B-9397-08002B2CF9AE}" pid="16" name="MSIP_Label_c69d85d5-6d9e-4305-a294-1f636ec0f2d6_SetDate">
    <vt:lpwstr>2026-03-18T16:55:29Z</vt:lpwstr>
  </property>
  <property fmtid="{D5CDD505-2E9C-101B-9397-08002B2CF9AE}" pid="17" name="MSIP_Label_c69d85d5-6d9e-4305-a294-1f636ec0f2d6_Method">
    <vt:lpwstr>Standard</vt:lpwstr>
  </property>
  <property fmtid="{D5CDD505-2E9C-101B-9397-08002B2CF9AE}" pid="18" name="MSIP_Label_c69d85d5-6d9e-4305-a294-1f636ec0f2d6_Name">
    <vt:lpwstr>OFFICIAL</vt:lpwstr>
  </property>
  <property fmtid="{D5CDD505-2E9C-101B-9397-08002B2CF9AE}" pid="19" name="MSIP_Label_c69d85d5-6d9e-4305-a294-1f636ec0f2d6_SiteId">
    <vt:lpwstr>6030f479-b342-472d-a5dd-740ff7538de9</vt:lpwstr>
  </property>
  <property fmtid="{D5CDD505-2E9C-101B-9397-08002B2CF9AE}" pid="20" name="MSIP_Label_c69d85d5-6d9e-4305-a294-1f636ec0f2d6_ActionId">
    <vt:lpwstr>5076f130-0fb7-4a77-999f-cd3a21e145b3</vt:lpwstr>
  </property>
  <property fmtid="{D5CDD505-2E9C-101B-9397-08002B2CF9AE}" pid="21" name="MSIP_Label_c69d85d5-6d9e-4305-a294-1f636ec0f2d6_ContentBits">
    <vt:lpwstr>0</vt:lpwstr>
  </property>
  <property fmtid="{D5CDD505-2E9C-101B-9397-08002B2CF9AE}" pid="22" name="MSIP_Label_c69d85d5-6d9e-4305-a294-1f636ec0f2d6_Tag">
    <vt:lpwstr>10, 3, 0, 1</vt:lpwstr>
  </property>
</Properties>
</file>