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B565EB" w14:textId="653E038D" w:rsidR="0030202C" w:rsidRPr="000F0AEB" w:rsidRDefault="0030202C" w:rsidP="0030202C">
      <w:pPr>
        <w:pStyle w:val="Title"/>
        <w:rPr>
          <w:color w:val="auto"/>
        </w:rPr>
      </w:pPr>
      <w:r w:rsidRPr="000F0AEB">
        <w:rPr>
          <w:color w:val="auto"/>
        </w:rPr>
        <w:t>NDRS – NICE Partnership Report ID3863</w:t>
      </w:r>
    </w:p>
    <w:p w14:paraId="3B13A6F0" w14:textId="77777777" w:rsidR="0030202C" w:rsidRPr="000F0AEB" w:rsidRDefault="0030202C" w:rsidP="0030202C">
      <w:pPr>
        <w:pStyle w:val="Heading2"/>
        <w:rPr>
          <w:color w:val="auto"/>
        </w:rPr>
      </w:pPr>
      <w:r w:rsidRPr="000F0AEB">
        <w:rPr>
          <w:color w:val="auto"/>
        </w:rPr>
        <w:t xml:space="preserve">Background </w:t>
      </w:r>
    </w:p>
    <w:p w14:paraId="7BF8125C" w14:textId="77777777" w:rsidR="0030202C" w:rsidRPr="00B15F3D" w:rsidRDefault="0030202C" w:rsidP="0030202C">
      <w:pPr>
        <w:pStyle w:val="BodyText"/>
      </w:pPr>
      <w:r w:rsidRPr="00B15F3D">
        <w:rPr>
          <w:lang w:val="en-GB"/>
        </w:rPr>
        <w:t xml:space="preserve">This report was produced in partnership by the National Disease and Registration Service (NDRS) and National Institute for Health and Care Excellence (NICE). </w:t>
      </w:r>
      <w:r w:rsidRPr="00B15F3D">
        <w:t>NDRS and NICE have established a partnership focused on routinely collected data to support NICE decision making on the appraisals of cancer treatments. The partnership uses NDRS datasets, including the information submitted by trusts to the SACT dataset, to provide an understanding of current practice.</w:t>
      </w:r>
    </w:p>
    <w:p w14:paraId="76E55711" w14:textId="77777777" w:rsidR="0030202C" w:rsidRPr="00B15F3D" w:rsidRDefault="0030202C" w:rsidP="0030202C">
      <w:r w:rsidRPr="00B15F3D">
        <w:t>To determine a severity modifier, NICE considers factors such as the age, gender, and overall survival of the patient cohort affected by the disease. Additionally, knowing the time-on-treatment for each therapy is useful, as it validates assumptions made in TA evaluations about the duration of treatment use.</w:t>
      </w:r>
    </w:p>
    <w:p w14:paraId="574A2CEC" w14:textId="47ED5E78" w:rsidR="0030202C" w:rsidRPr="00B15F3D" w:rsidRDefault="0030202C" w:rsidP="0030202C">
      <w:pPr>
        <w:pStyle w:val="BodyText"/>
      </w:pPr>
      <w:r w:rsidRPr="00B15F3D">
        <w:t xml:space="preserve">This partnership is focused on producing demographic and survival information using NDRS data, alongside supplementary information tailored to each technology appraisal. These may include, for example, the time patients spend on </w:t>
      </w:r>
      <w:proofErr w:type="gramStart"/>
      <w:r w:rsidRPr="00B15F3D">
        <w:t>particular treatments</w:t>
      </w:r>
      <w:proofErr w:type="gramEnd"/>
      <w:r w:rsidRPr="00B15F3D">
        <w:t>, genetic data where this is available, or other information on real world care pathways.  Interpretation of the data isn’t included in this report</w:t>
      </w:r>
      <w:r w:rsidR="001C726A" w:rsidRPr="00B15F3D">
        <w:t xml:space="preserve">. The report </w:t>
      </w:r>
      <w:proofErr w:type="gramStart"/>
      <w:r w:rsidR="001C726A" w:rsidRPr="00B15F3D">
        <w:t xml:space="preserve">contains </w:t>
      </w:r>
      <w:r w:rsidRPr="00B15F3D">
        <w:t xml:space="preserve"> the</w:t>
      </w:r>
      <w:proofErr w:type="gramEnd"/>
      <w:r w:rsidRPr="00B15F3D">
        <w:t xml:space="preserve"> </w:t>
      </w:r>
      <w:proofErr w:type="gramStart"/>
      <w:r w:rsidRPr="00B15F3D">
        <w:t>information as</w:t>
      </w:r>
      <w:proofErr w:type="gramEnd"/>
      <w:r w:rsidRPr="00B15F3D">
        <w:t xml:space="preserve"> provided to the NICE TA committees. Detail</w:t>
      </w:r>
      <w:r w:rsidR="001C726A" w:rsidRPr="00B15F3D">
        <w:t>s</w:t>
      </w:r>
      <w:r w:rsidRPr="00B15F3D">
        <w:t xml:space="preserve"> on how NICE health technology appraisals use this data can be found in the NICE health technology evaluations manual</w:t>
      </w:r>
      <w:r w:rsidRPr="00B15F3D">
        <w:rPr>
          <w:rStyle w:val="FootnoteReference"/>
        </w:rPr>
        <w:footnoteReference w:id="1"/>
      </w:r>
      <w:r w:rsidRPr="00B15F3D">
        <w:t xml:space="preserve"> , with specific information relating to the survival analysis modelling available in Technical Support Document (TSD) 14</w:t>
      </w:r>
      <w:r w:rsidRPr="00B15F3D">
        <w:rPr>
          <w:rStyle w:val="FootnoteReference"/>
        </w:rPr>
        <w:footnoteReference w:id="2"/>
      </w:r>
      <w:r w:rsidRPr="00B15F3D">
        <w:t>.</w:t>
      </w:r>
    </w:p>
    <w:p w14:paraId="53AA3C6A" w14:textId="37678EFC" w:rsidR="0030202C" w:rsidRPr="00B15F3D" w:rsidRDefault="0030202C" w:rsidP="0030202C">
      <w:pPr>
        <w:pStyle w:val="BodyText"/>
      </w:pPr>
      <w:r w:rsidRPr="00B15F3D">
        <w:t xml:space="preserve">The focus of this report is the indication </w:t>
      </w:r>
      <w:r w:rsidRPr="00B15F3D">
        <w:rPr>
          <w:b/>
          <w:bCs/>
        </w:rPr>
        <w:t xml:space="preserve">ID3863: </w:t>
      </w:r>
      <w:proofErr w:type="spellStart"/>
      <w:r w:rsidR="005B2187" w:rsidRPr="00B15F3D">
        <w:rPr>
          <w:b/>
          <w:bCs/>
        </w:rPr>
        <w:t>Lifileucel</w:t>
      </w:r>
      <w:proofErr w:type="spellEnd"/>
      <w:r w:rsidR="005B2187" w:rsidRPr="00B15F3D">
        <w:rPr>
          <w:b/>
          <w:bCs/>
        </w:rPr>
        <w:t xml:space="preserve"> for previously treated unresectable or metastatic melanoma</w:t>
      </w:r>
      <w:r w:rsidR="005B2187" w:rsidRPr="00B15F3D">
        <w:rPr>
          <w:b/>
          <w:bCs/>
        </w:rPr>
        <w:tab/>
      </w:r>
    </w:p>
    <w:p w14:paraId="68713960" w14:textId="77777777" w:rsidR="00D53791" w:rsidRPr="000F0AEB" w:rsidRDefault="00D53791">
      <w:pPr>
        <w:rPr>
          <w:rFonts w:asciiTheme="majorHAnsi" w:eastAsiaTheme="majorEastAsia" w:hAnsiTheme="majorHAnsi" w:cstheme="majorBidi"/>
          <w:b/>
          <w:bCs/>
          <w:sz w:val="36"/>
          <w:szCs w:val="36"/>
        </w:rPr>
      </w:pPr>
      <w:r w:rsidRPr="00B15F3D">
        <w:br w:type="page"/>
      </w:r>
    </w:p>
    <w:p w14:paraId="4200876A" w14:textId="47D2EAB6" w:rsidR="008C0097" w:rsidRPr="000F0AEB" w:rsidRDefault="00674864">
      <w:pPr>
        <w:pStyle w:val="Title"/>
        <w:rPr>
          <w:color w:val="auto"/>
        </w:rPr>
      </w:pPr>
      <w:r w:rsidRPr="000F0AEB">
        <w:rPr>
          <w:color w:val="auto"/>
        </w:rPr>
        <w:lastRenderedPageBreak/>
        <w:t>Age, Gender</w:t>
      </w:r>
      <w:r w:rsidR="00B57D4B" w:rsidRPr="000F0AEB">
        <w:rPr>
          <w:color w:val="auto"/>
        </w:rPr>
        <w:t xml:space="preserve">, Treatment and BRAF </w:t>
      </w:r>
      <w:r w:rsidR="00102705" w:rsidRPr="000F0AEB">
        <w:rPr>
          <w:color w:val="auto"/>
        </w:rPr>
        <w:t xml:space="preserve">mutation status information </w:t>
      </w:r>
      <w:r w:rsidRPr="000F0AEB">
        <w:rPr>
          <w:color w:val="auto"/>
        </w:rPr>
        <w:t xml:space="preserve">for Unresectable or Metastatic Melanoma </w:t>
      </w:r>
      <w:proofErr w:type="spellStart"/>
      <w:r w:rsidR="00102705" w:rsidRPr="000F0AEB">
        <w:rPr>
          <w:color w:val="auto"/>
        </w:rPr>
        <w:t>Tumours</w:t>
      </w:r>
      <w:proofErr w:type="spellEnd"/>
    </w:p>
    <w:p w14:paraId="2957D2D0" w14:textId="77777777" w:rsidR="008C0097" w:rsidRPr="000F0AEB" w:rsidRDefault="00674864">
      <w:pPr>
        <w:pStyle w:val="Heading2"/>
        <w:rPr>
          <w:color w:val="auto"/>
        </w:rPr>
      </w:pPr>
      <w:bookmarkStart w:id="0" w:name="introduction"/>
      <w:r w:rsidRPr="000F0AEB">
        <w:rPr>
          <w:color w:val="auto"/>
        </w:rPr>
        <w:t>Introduction</w:t>
      </w:r>
    </w:p>
    <w:p w14:paraId="293F3F38" w14:textId="77777777" w:rsidR="008C0097" w:rsidRPr="00B15F3D" w:rsidRDefault="00674864">
      <w:pPr>
        <w:pStyle w:val="FirstParagraph"/>
      </w:pPr>
      <w:r w:rsidRPr="00B15F3D">
        <w:t>This report was produced in partnership by the National Disease and Registration Service (NDRS) and National Institute for Health and Care Excellence (NICE). It presents patient demographic characteristics and treatment pathways among patients aged 18 or over with unresectable or metastatic melanoma.</w:t>
      </w:r>
    </w:p>
    <w:p w14:paraId="7A691005" w14:textId="77777777" w:rsidR="008C0097" w:rsidRPr="000F0AEB" w:rsidRDefault="00674864">
      <w:pPr>
        <w:pStyle w:val="Heading2"/>
        <w:rPr>
          <w:color w:val="auto"/>
        </w:rPr>
      </w:pPr>
      <w:bookmarkStart w:id="1" w:name="method"/>
      <w:bookmarkEnd w:id="0"/>
      <w:r w:rsidRPr="000F0AEB">
        <w:rPr>
          <w:color w:val="auto"/>
        </w:rPr>
        <w:t>Method</w:t>
      </w:r>
    </w:p>
    <w:p w14:paraId="2B98975D" w14:textId="04885DBB" w:rsidR="008C0097" w:rsidRPr="00B15F3D" w:rsidRDefault="00674864">
      <w:pPr>
        <w:pStyle w:val="FirstParagraph"/>
      </w:pPr>
      <w:r w:rsidRPr="00B15F3D">
        <w:t xml:space="preserve">A snapshot of </w:t>
      </w:r>
      <w:r w:rsidR="00374728" w:rsidRPr="00B15F3D">
        <w:t>Systemic Anti-Cancer Therapy (</w:t>
      </w:r>
      <w:r w:rsidRPr="00B15F3D">
        <w:t>SACT</w:t>
      </w:r>
      <w:r w:rsidR="00374728" w:rsidRPr="00B15F3D">
        <w:t>)</w:t>
      </w:r>
      <w:r w:rsidRPr="00B15F3D">
        <w:t xml:space="preserve"> data</w:t>
      </w:r>
      <w:r w:rsidR="00E243DA" w:rsidRPr="00B15F3D">
        <w:rPr>
          <w:rStyle w:val="FootnoteReference"/>
        </w:rPr>
        <w:footnoteReference w:id="3"/>
      </w:r>
      <w:r w:rsidRPr="00B15F3D">
        <w:t xml:space="preserve"> was taken on 2nd August 2025 and made available for analysis on 3rd August 2025. SACT data is only considered complete when 90% of trusts have submitted data. </w:t>
      </w:r>
      <w:r w:rsidR="00196F96" w:rsidRPr="00B15F3D">
        <w:t>For this report</w:t>
      </w:r>
      <w:r w:rsidRPr="00B15F3D">
        <w:t xml:space="preserve">, SACT data is </w:t>
      </w:r>
      <w:r w:rsidR="00FD4DB9" w:rsidRPr="00B15F3D">
        <w:t xml:space="preserve">thus </w:t>
      </w:r>
      <w:r w:rsidRPr="00B15F3D">
        <w:t>considered complete up to 31st Jan 2025.</w:t>
      </w:r>
      <w:r w:rsidR="66643D2C" w:rsidRPr="00B15F3D">
        <w:t xml:space="preserve"> The treatment period of interest runs from June 2018 up to this date</w:t>
      </w:r>
      <w:r w:rsidR="00174BA3" w:rsidRPr="00B15F3D">
        <w:t>, for a cohort of individuals diagnosed between June 2018 and December 2022</w:t>
      </w:r>
      <w:r w:rsidR="66643D2C" w:rsidRPr="00B15F3D">
        <w:t>.</w:t>
      </w:r>
    </w:p>
    <w:p w14:paraId="17F394E4" w14:textId="77777777" w:rsidR="008C0097" w:rsidRPr="00B15F3D" w:rsidRDefault="00674864">
      <w:pPr>
        <w:pStyle w:val="BodyText"/>
      </w:pPr>
      <w:r w:rsidRPr="00B15F3D">
        <w:t>Descriptive statistics of age and gender were computed, together with treatment counts and BRAF mutation status.</w:t>
      </w:r>
    </w:p>
    <w:p w14:paraId="1857BC41" w14:textId="0BC5A6B8" w:rsidR="00DE3FEC" w:rsidRPr="000F0AEB" w:rsidRDefault="00682C72" w:rsidP="001C726A">
      <w:pPr>
        <w:pStyle w:val="Heading3"/>
        <w:rPr>
          <w:color w:val="auto"/>
        </w:rPr>
      </w:pPr>
      <w:r w:rsidRPr="000F0AEB">
        <w:rPr>
          <w:color w:val="auto"/>
        </w:rPr>
        <w:t>Identifying Metastatic and Unresectable Cases</w:t>
      </w:r>
      <w:r w:rsidR="002630B9" w:rsidRPr="000F0AEB">
        <w:rPr>
          <w:color w:val="auto"/>
        </w:rPr>
        <w:t xml:space="preserve"> </w:t>
      </w:r>
      <w:r w:rsidR="00647C4D" w:rsidRPr="000F0AEB">
        <w:rPr>
          <w:color w:val="auto"/>
        </w:rPr>
        <w:t>at Registration</w:t>
      </w:r>
    </w:p>
    <w:p w14:paraId="48CA888C" w14:textId="26A2FC27" w:rsidR="001677CC" w:rsidRPr="00B15F3D" w:rsidRDefault="00885680" w:rsidP="00885680">
      <w:pPr>
        <w:pStyle w:val="BodyText"/>
      </w:pPr>
      <w:r w:rsidRPr="00B15F3D">
        <w:t xml:space="preserve">Identifying </w:t>
      </w:r>
      <w:r w:rsidR="001C726A" w:rsidRPr="00B15F3D">
        <w:t>Data on p</w:t>
      </w:r>
      <w:r w:rsidR="00674864" w:rsidRPr="00B15F3D">
        <w:t xml:space="preserve">atients with unresectable or metastatic melanoma </w:t>
      </w:r>
      <w:r w:rsidRPr="00B15F3D">
        <w:t>presented significant challenges</w:t>
      </w:r>
      <w:r w:rsidR="00674864" w:rsidRPr="00B15F3D">
        <w:t xml:space="preserve">. Staging information is recorded at registration/diagnosis </w:t>
      </w:r>
      <w:r w:rsidR="00616593" w:rsidRPr="00B15F3D">
        <w:t xml:space="preserve">but </w:t>
      </w:r>
      <w:r w:rsidR="00674864" w:rsidRPr="00B15F3D">
        <w:t xml:space="preserve">not as the disease progresses. </w:t>
      </w:r>
      <w:r w:rsidR="00084283" w:rsidRPr="00B15F3D">
        <w:t xml:space="preserve">There was no data item which </w:t>
      </w:r>
      <w:r w:rsidR="000F7473" w:rsidRPr="00B15F3D">
        <w:t xml:space="preserve">explicitly recorded </w:t>
      </w:r>
      <w:proofErr w:type="spellStart"/>
      <w:r w:rsidR="000F7473" w:rsidRPr="00B15F3D">
        <w:t>resectability</w:t>
      </w:r>
      <w:proofErr w:type="spellEnd"/>
      <w:r w:rsidR="000F7473" w:rsidRPr="00B15F3D">
        <w:t xml:space="preserve">. </w:t>
      </w:r>
      <w:r w:rsidR="00616593" w:rsidRPr="00B15F3D">
        <w:t xml:space="preserve">Consequently, identifying </w:t>
      </w:r>
      <w:r w:rsidR="007B2FDF" w:rsidRPr="00B15F3D">
        <w:t xml:space="preserve">metastatic </w:t>
      </w:r>
      <w:r w:rsidR="003A42CC" w:rsidRPr="00B15F3D">
        <w:t xml:space="preserve">and unresectable </w:t>
      </w:r>
      <w:r w:rsidR="007B2FDF" w:rsidRPr="00B15F3D">
        <w:t xml:space="preserve">cases </w:t>
      </w:r>
      <w:r w:rsidR="00C44421" w:rsidRPr="00B15F3D">
        <w:t>necessitated either</w:t>
      </w:r>
      <w:r w:rsidR="00CB0599" w:rsidRPr="00B15F3D">
        <w:t xml:space="preserve"> 1)</w:t>
      </w:r>
      <w:r w:rsidR="00C44421" w:rsidRPr="00B15F3D">
        <w:t xml:space="preserve"> filtering based on staging at diagnosis,</w:t>
      </w:r>
      <w:r w:rsidR="00CB0599" w:rsidRPr="00B15F3D">
        <w:t xml:space="preserve"> 2)</w:t>
      </w:r>
      <w:r w:rsidR="00C44421" w:rsidRPr="00B15F3D">
        <w:t xml:space="preserve"> inferring progression from treatment patterns, or </w:t>
      </w:r>
      <w:r w:rsidR="00CB0599" w:rsidRPr="00B15F3D">
        <w:t xml:space="preserve">3) </w:t>
      </w:r>
      <w:r w:rsidR="00C44421" w:rsidRPr="00B15F3D">
        <w:t>employing a combination of both approaches</w:t>
      </w:r>
      <w:r w:rsidR="003E202C" w:rsidRPr="00B15F3D">
        <w:t>.</w:t>
      </w:r>
      <w:r w:rsidR="00CD0CA0" w:rsidRPr="00B15F3D">
        <w:t xml:space="preserve"> The first approach (filtering on staging at </w:t>
      </w:r>
      <w:r w:rsidR="00C0775B" w:rsidRPr="00B15F3D">
        <w:t xml:space="preserve">registration) is </w:t>
      </w:r>
      <w:r w:rsidR="00454C50" w:rsidRPr="00B15F3D">
        <w:t>methodologically straightforward</w:t>
      </w:r>
      <w:r w:rsidR="00C0775B" w:rsidRPr="00B15F3D">
        <w:t xml:space="preserve"> but cruder</w:t>
      </w:r>
      <w:r w:rsidR="00454C50" w:rsidRPr="00B15F3D">
        <w:t xml:space="preserve"> in approach</w:t>
      </w:r>
      <w:r w:rsidR="00C0775B" w:rsidRPr="00B15F3D">
        <w:t>.</w:t>
      </w:r>
      <w:r w:rsidR="00454C50" w:rsidRPr="00B15F3D">
        <w:t xml:space="preserve"> </w:t>
      </w:r>
      <w:r w:rsidR="00726A2F" w:rsidRPr="00B15F3D">
        <w:t xml:space="preserve">For example, restricting the cohort to those with a recorded stage of 3 or 4 </w:t>
      </w:r>
      <w:r w:rsidR="00AF743B" w:rsidRPr="00B15F3D">
        <w:t xml:space="preserve">reduces </w:t>
      </w:r>
      <w:r w:rsidR="00CE15BD" w:rsidRPr="00B15F3D">
        <w:t>the risk of including non-metastatic case</w:t>
      </w:r>
      <w:r w:rsidR="00AF743B" w:rsidRPr="00B15F3D">
        <w:t xml:space="preserve">. However, </w:t>
      </w:r>
      <w:r w:rsidR="00CE15BD" w:rsidRPr="00B15F3D">
        <w:t xml:space="preserve">it also </w:t>
      </w:r>
      <w:r w:rsidR="001C726A" w:rsidRPr="00B15F3D">
        <w:t xml:space="preserve">excludes </w:t>
      </w:r>
      <w:r w:rsidR="00CE15BD" w:rsidRPr="00B15F3D">
        <w:t xml:space="preserve">patients whose disease </w:t>
      </w:r>
      <w:r w:rsidR="00A934FD" w:rsidRPr="00B15F3D">
        <w:t xml:space="preserve">may have </w:t>
      </w:r>
      <w:r w:rsidR="00CE15BD" w:rsidRPr="00B15F3D">
        <w:t xml:space="preserve">progressed </w:t>
      </w:r>
      <w:r w:rsidR="00A934FD" w:rsidRPr="00B15F3D">
        <w:t xml:space="preserve">and become metastatic </w:t>
      </w:r>
      <w:r w:rsidR="00CE15BD" w:rsidRPr="00B15F3D">
        <w:t xml:space="preserve">after initial registration, thereby reducing </w:t>
      </w:r>
      <w:r w:rsidR="00915DAE" w:rsidRPr="00B15F3D">
        <w:t xml:space="preserve">the </w:t>
      </w:r>
      <w:r w:rsidR="00CE15BD" w:rsidRPr="00B15F3D">
        <w:t>cohort size.</w:t>
      </w:r>
      <w:r w:rsidR="00B061C2" w:rsidRPr="00B15F3D">
        <w:t xml:space="preserve"> </w:t>
      </w:r>
    </w:p>
    <w:p w14:paraId="10C8746B" w14:textId="161B5F4B" w:rsidR="008E10EB" w:rsidRPr="000F0AEB" w:rsidRDefault="00A12F47" w:rsidP="001C726A">
      <w:pPr>
        <w:pStyle w:val="Heading3"/>
        <w:rPr>
          <w:color w:val="auto"/>
        </w:rPr>
      </w:pPr>
      <w:r w:rsidRPr="000F0AEB">
        <w:rPr>
          <w:color w:val="auto"/>
        </w:rPr>
        <w:t>Distinguishing</w:t>
      </w:r>
      <w:r w:rsidR="00F02CDB" w:rsidRPr="000F0AEB">
        <w:rPr>
          <w:color w:val="auto"/>
        </w:rPr>
        <w:t xml:space="preserve"> between adjuvant/neo-adjuvant use and </w:t>
      </w:r>
      <w:r w:rsidRPr="000F0AEB">
        <w:rPr>
          <w:color w:val="auto"/>
        </w:rPr>
        <w:t>primary systemic therapies</w:t>
      </w:r>
    </w:p>
    <w:p w14:paraId="79FE74C1" w14:textId="1A52BC1B" w:rsidR="00B64164" w:rsidRPr="00B15F3D" w:rsidRDefault="00277F10" w:rsidP="00B64164">
      <w:pPr>
        <w:pStyle w:val="BodyText"/>
      </w:pPr>
      <w:r w:rsidRPr="00B15F3D">
        <w:t>T</w:t>
      </w:r>
      <w:r w:rsidR="00B64164" w:rsidRPr="00B15F3D">
        <w:t xml:space="preserve">he alternate approach of inferring </w:t>
      </w:r>
      <w:r w:rsidR="00E34940" w:rsidRPr="00B15F3D">
        <w:t xml:space="preserve">metastatic or unresectable status from treatment patterns was complicated by </w:t>
      </w:r>
      <w:r w:rsidR="00075AA8" w:rsidRPr="00B15F3D">
        <w:t xml:space="preserve">the fact that </w:t>
      </w:r>
      <w:r w:rsidR="002B6FB8" w:rsidRPr="00B15F3D">
        <w:t xml:space="preserve">some of the common </w:t>
      </w:r>
      <w:r w:rsidR="00B64164" w:rsidRPr="00B15F3D">
        <w:t xml:space="preserve">treatments are </w:t>
      </w:r>
      <w:r w:rsidR="002B6FB8" w:rsidRPr="00B15F3D">
        <w:t xml:space="preserve">also </w:t>
      </w:r>
      <w:r w:rsidR="00B64164" w:rsidRPr="00B15F3D">
        <w:t xml:space="preserve">given as adjuvant or neoadjuvant </w:t>
      </w:r>
      <w:r w:rsidR="00075AA8" w:rsidRPr="00B15F3D">
        <w:t xml:space="preserve">therapies (alongside curative treatment options) </w:t>
      </w:r>
      <w:r w:rsidR="00701C25" w:rsidRPr="00B15F3D">
        <w:t>as well as primary systemic therapies where the disease has progressed to metastatic status.</w:t>
      </w:r>
      <w:r w:rsidR="00B64164" w:rsidRPr="00B15F3D">
        <w:t xml:space="preserve"> </w:t>
      </w:r>
      <w:r w:rsidR="00F1334B" w:rsidRPr="00B15F3D">
        <w:lastRenderedPageBreak/>
        <w:t xml:space="preserve">Consequently, it was not possible to infer </w:t>
      </w:r>
      <w:r w:rsidR="00B417FC" w:rsidRPr="00B15F3D">
        <w:t xml:space="preserve">metastatic status from treatment patterns without </w:t>
      </w:r>
      <w:r w:rsidR="00A005A8" w:rsidRPr="00B15F3D">
        <w:t>explicit</w:t>
      </w:r>
      <w:r w:rsidR="00B417FC" w:rsidRPr="00B15F3D">
        <w:t xml:space="preserve"> information on the treatment intent (that is to say, whether the treatment was given on an adjuvant or neoadjuvant basis or as the primary treatment). </w:t>
      </w:r>
    </w:p>
    <w:p w14:paraId="30EF38E4" w14:textId="6AA6644B" w:rsidR="008E10EB" w:rsidRPr="00B15F3D" w:rsidRDefault="001C726A">
      <w:pPr>
        <w:pStyle w:val="BodyText"/>
      </w:pPr>
      <w:r w:rsidRPr="00B15F3D">
        <w:t>Alongside</w:t>
      </w:r>
      <w:r w:rsidR="008E10EB" w:rsidRPr="00B15F3D">
        <w:t xml:space="preserve">, the transition from version 2 to version 3 of the SACT data standard during the reporting period altered the allowable values in the treatment intent fields. As a result, it became difficult to reliably distinguish adjuvant therapies from systemic primary treatments, increasing the risk of unintentionally excluding patients receiving the latter. We therefore included only patients whose tumour was stage 3 or 4 at diagnosis, and whose treatment intent was recorded as palliative (including ‘life extending’). </w:t>
      </w:r>
    </w:p>
    <w:p w14:paraId="76A3BAF4" w14:textId="16C364D0" w:rsidR="008C0097" w:rsidRPr="00B15F3D" w:rsidRDefault="00674864">
      <w:pPr>
        <w:pStyle w:val="BodyText"/>
      </w:pPr>
      <w:r w:rsidRPr="00B15F3D">
        <w:t xml:space="preserve">Consequently, the number of patients included in this report is likely lower than the total number </w:t>
      </w:r>
      <w:proofErr w:type="gramStart"/>
      <w:r w:rsidRPr="00B15F3D">
        <w:t>actually treated</w:t>
      </w:r>
      <w:proofErr w:type="gramEnd"/>
      <w:r w:rsidRPr="00B15F3D">
        <w:t xml:space="preserve"> for unresectable or metastatic melanoma with systemic therapy. For example, </w:t>
      </w:r>
      <w:hyperlink r:id="rId11" w:anchor="melanoma_stats1">
        <w:r w:rsidR="008C0097" w:rsidRPr="000F0AEB">
          <w:rPr>
            <w:rStyle w:val="Hyperlink"/>
            <w:color w:val="auto"/>
          </w:rPr>
          <w:t>there were around 17,500 newly diagnosed melanomas, and 2,300 melanoma skin cancer deaths, each year between 2017-19</w:t>
        </w:r>
      </w:hyperlink>
      <w:r w:rsidRPr="000F0AEB">
        <w:t>. We identified first line treatments for 2</w:t>
      </w:r>
      <w:r w:rsidR="00AE7E1D" w:rsidRPr="000F0AEB">
        <w:t>,</w:t>
      </w:r>
      <w:r w:rsidRPr="000F0AEB">
        <w:t>334</w:t>
      </w:r>
      <w:r w:rsidR="7271F043" w:rsidRPr="000F0AEB">
        <w:t xml:space="preserve"> over a much longer time frame (June 2018</w:t>
      </w:r>
      <w:r w:rsidR="53AC72DE" w:rsidRPr="000F0AEB">
        <w:t xml:space="preserve"> – Jan 2025</w:t>
      </w:r>
      <w:r w:rsidR="7271F043" w:rsidRPr="000F0AEB">
        <w:t>)</w:t>
      </w:r>
      <w:r w:rsidRPr="000F0AEB">
        <w:t xml:space="preserve">. The relatively small sample size introduces greater </w:t>
      </w:r>
      <w:r w:rsidRPr="00B15F3D">
        <w:t>uncertainty around the point estimates. Patient numbers at the second line of treatment are particularly low, which precludes the generation of meaningful survival curves in the second-line setting.</w:t>
      </w:r>
    </w:p>
    <w:p w14:paraId="2763EAC5" w14:textId="0E5A0975" w:rsidR="00B04B90" w:rsidRPr="000F0AEB" w:rsidRDefault="00B04B90" w:rsidP="001C726A">
      <w:pPr>
        <w:pStyle w:val="Heading3"/>
        <w:rPr>
          <w:color w:val="auto"/>
        </w:rPr>
      </w:pPr>
      <w:r w:rsidRPr="000F0AEB">
        <w:rPr>
          <w:color w:val="auto"/>
        </w:rPr>
        <w:t>Recording of combination therapies</w:t>
      </w:r>
    </w:p>
    <w:p w14:paraId="02481177" w14:textId="48211236" w:rsidR="008C0097" w:rsidRPr="00B15F3D" w:rsidRDefault="007D2003">
      <w:pPr>
        <w:pStyle w:val="BodyText"/>
      </w:pPr>
      <w:r w:rsidRPr="00B15F3D">
        <w:t>D</w:t>
      </w:r>
      <w:r w:rsidR="00674864" w:rsidRPr="00B15F3D">
        <w:t xml:space="preserve">ue to the number of combination immunotherapy regimens indicated for this condition, it was sometimes difficult to identify where combination regimens or monotherapies were given at first and second line. This analysis was conducted using SACT records data at the regimen level, but trusts may record combination therapies either as a combination or as two separate regimens running concurrently. We adopted the following heuristic to </w:t>
      </w:r>
      <w:proofErr w:type="spellStart"/>
      <w:r w:rsidR="00674864" w:rsidRPr="00B15F3D">
        <w:t>categorise</w:t>
      </w:r>
      <w:proofErr w:type="spellEnd"/>
      <w:r w:rsidR="00674864" w:rsidRPr="00B15F3D">
        <w:t xml:space="preserve"> apparently split regimens descriptions into lines of treatment, but it should be noted that no rule can deal with all edge cases, for example cases where one element of a combination is started but not continued due to toxicity or adverse reaction. This difficulty in classifying regimens into lines of treatment creates additional uncertainty into the counts of combination and associated monotherapies, particularly in the case of second line </w:t>
      </w:r>
      <w:r w:rsidR="00356830" w:rsidRPr="00B15F3D">
        <w:t>N</w:t>
      </w:r>
      <w:r w:rsidR="00674864" w:rsidRPr="00B15F3D">
        <w:t>ivolumab, which is given as a maintenance therapy following the Ipilimumab + Nivolumab combination at first line, but also as a second line treatment following other first line regimens. It is possible that the heuristic used understates the proportion of genuine Nivolumab second line monotherapy treatments.</w:t>
      </w:r>
    </w:p>
    <w:p w14:paraId="298C49B5" w14:textId="77777777" w:rsidR="008C0097" w:rsidRPr="000F0AEB" w:rsidRDefault="00674864">
      <w:pPr>
        <w:pStyle w:val="Heading3"/>
        <w:rPr>
          <w:color w:val="auto"/>
        </w:rPr>
      </w:pPr>
      <w:bookmarkStart w:id="2" w:name="line-of-treatment-heuristic"/>
      <w:r w:rsidRPr="000F0AEB">
        <w:rPr>
          <w:color w:val="auto"/>
        </w:rPr>
        <w:t>Line of treatment heuristic</w:t>
      </w:r>
    </w:p>
    <w:p w14:paraId="05F47BAD" w14:textId="2CE94A82" w:rsidR="008C0097" w:rsidRPr="00B15F3D" w:rsidRDefault="00674864">
      <w:pPr>
        <w:pStyle w:val="FirstParagraph"/>
      </w:pPr>
      <w:r w:rsidRPr="00B15F3D">
        <w:t>This heuristic uses only the regimen name field as recorded in</w:t>
      </w:r>
      <w:r w:rsidR="00F3545B" w:rsidRPr="00B15F3D">
        <w:t xml:space="preserve"> the</w:t>
      </w:r>
      <w:r w:rsidRPr="00B15F3D">
        <w:t xml:space="preserve"> SACT </w:t>
      </w:r>
      <w:r w:rsidR="00F3545B" w:rsidRPr="00B15F3D">
        <w:t>dat</w:t>
      </w:r>
      <w:r w:rsidR="001C726A" w:rsidRPr="00B15F3D">
        <w:t>a</w:t>
      </w:r>
      <w:r w:rsidR="00F3545B" w:rsidRPr="00B15F3D">
        <w:t xml:space="preserve">set </w:t>
      </w:r>
      <w:r w:rsidRPr="00B15F3D">
        <w:t>and does not incorporate drug-level detail. Examples of regimen names include ‘Ipilimumab + Nivolumab</w:t>
      </w:r>
      <w:proofErr w:type="gramStart"/>
      <w:r w:rsidRPr="00B15F3D">
        <w:t>’, ‘</w:t>
      </w:r>
      <w:proofErr w:type="gramEnd"/>
      <w:r w:rsidRPr="00B15F3D">
        <w:t xml:space="preserve">Nivolumab’, </w:t>
      </w:r>
      <w:proofErr w:type="gramStart"/>
      <w:r w:rsidRPr="00B15F3D">
        <w:t>‘Ipilimumab’, ‘Dabrafenib + Trametinib’, ‘</w:t>
      </w:r>
      <w:proofErr w:type="gramEnd"/>
      <w:r w:rsidRPr="00B15F3D">
        <w:t>Dabrafenib’, and ‘Trametinib’.</w:t>
      </w:r>
    </w:p>
    <w:p w14:paraId="0F3943F0" w14:textId="77777777" w:rsidR="008C0097" w:rsidRPr="000F0AEB" w:rsidRDefault="00674864">
      <w:pPr>
        <w:pStyle w:val="Heading4"/>
        <w:rPr>
          <w:color w:val="auto"/>
        </w:rPr>
      </w:pPr>
      <w:bookmarkStart w:id="3" w:name="first-line"/>
      <w:r w:rsidRPr="000F0AEB">
        <w:rPr>
          <w:color w:val="auto"/>
        </w:rPr>
        <w:t>First line</w:t>
      </w:r>
    </w:p>
    <w:p w14:paraId="22F0087C" w14:textId="1536E6BF" w:rsidR="008C0097" w:rsidRPr="00B15F3D" w:rsidRDefault="00674864">
      <w:pPr>
        <w:pStyle w:val="Compact"/>
        <w:numPr>
          <w:ilvl w:val="0"/>
          <w:numId w:val="5"/>
        </w:numPr>
      </w:pPr>
      <w:r w:rsidRPr="00B15F3D">
        <w:t xml:space="preserve">Where a regimen </w:t>
      </w:r>
      <w:r w:rsidR="00F3545B" w:rsidRPr="00B15F3D">
        <w:t xml:space="preserve">is </w:t>
      </w:r>
      <w:r w:rsidRPr="00B15F3D">
        <w:t xml:space="preserve">described as a combination therapy -&gt; treatment description is </w:t>
      </w:r>
      <w:proofErr w:type="spellStart"/>
      <w:r w:rsidRPr="00B15F3D">
        <w:t>categorised</w:t>
      </w:r>
      <w:proofErr w:type="spellEnd"/>
      <w:r w:rsidRPr="00B15F3D">
        <w:t xml:space="preserve"> as that combination. For example, if regimen = ‘Ipilimumab + Nivolumab’, then it is treated as such without further inference.</w:t>
      </w:r>
    </w:p>
    <w:p w14:paraId="0E936F4B" w14:textId="0354DED9" w:rsidR="00F3545B" w:rsidRPr="00B15F3D" w:rsidRDefault="00F3545B" w:rsidP="00F3545B">
      <w:pPr>
        <w:pStyle w:val="Compact"/>
        <w:ind w:left="240"/>
      </w:pPr>
      <w:r w:rsidRPr="00B15F3D">
        <w:lastRenderedPageBreak/>
        <w:t>Where a regimen description contains:</w:t>
      </w:r>
    </w:p>
    <w:p w14:paraId="6D823CA9" w14:textId="48174C11" w:rsidR="008C0097" w:rsidRPr="00B15F3D" w:rsidRDefault="00674864">
      <w:pPr>
        <w:pStyle w:val="Compact"/>
        <w:numPr>
          <w:ilvl w:val="0"/>
          <w:numId w:val="5"/>
        </w:numPr>
      </w:pPr>
      <w:r w:rsidRPr="00B15F3D">
        <w:t xml:space="preserve"> ‘Ipilimumab’ and is immediately followed by a regimen description containing ‘Nivolumab’ within 31 days -&gt; </w:t>
      </w:r>
      <w:proofErr w:type="spellStart"/>
      <w:r w:rsidRPr="00B15F3D">
        <w:t>categorised</w:t>
      </w:r>
      <w:proofErr w:type="spellEnd"/>
      <w:r w:rsidRPr="00B15F3D">
        <w:t xml:space="preserve"> as combination ‘Ipilimumab + Nivolumab’</w:t>
      </w:r>
    </w:p>
    <w:p w14:paraId="385E0167" w14:textId="40CDF62D" w:rsidR="008C0097" w:rsidRPr="00B15F3D" w:rsidRDefault="00674864">
      <w:pPr>
        <w:pStyle w:val="Compact"/>
        <w:numPr>
          <w:ilvl w:val="0"/>
          <w:numId w:val="5"/>
        </w:numPr>
      </w:pPr>
      <w:r w:rsidRPr="00B15F3D">
        <w:t xml:space="preserve"> ‘Nivolumab’ and is immediately followed by a regimen description containing ‘Ipilimumab’ within 31 days-&gt; </w:t>
      </w:r>
      <w:proofErr w:type="spellStart"/>
      <w:r w:rsidRPr="00B15F3D">
        <w:t>categorised</w:t>
      </w:r>
      <w:proofErr w:type="spellEnd"/>
      <w:r w:rsidRPr="00B15F3D">
        <w:t xml:space="preserve"> as combination ‘Ipilimumab + Nivolumab’</w:t>
      </w:r>
    </w:p>
    <w:p w14:paraId="09689660" w14:textId="3869F98F" w:rsidR="008C0097" w:rsidRPr="00B15F3D" w:rsidRDefault="00674864">
      <w:pPr>
        <w:pStyle w:val="Compact"/>
        <w:numPr>
          <w:ilvl w:val="0"/>
          <w:numId w:val="5"/>
        </w:numPr>
      </w:pPr>
      <w:r w:rsidRPr="00B15F3D">
        <w:t xml:space="preserve"> ‘Dabrafenib’ and is immediately followed by a regimen description containing ‘Trametinib’ within 31 days -&gt; </w:t>
      </w:r>
      <w:proofErr w:type="spellStart"/>
      <w:r w:rsidRPr="00B15F3D">
        <w:t>categorised</w:t>
      </w:r>
      <w:proofErr w:type="spellEnd"/>
      <w:r w:rsidRPr="00B15F3D">
        <w:t xml:space="preserve"> as combination ‘Dabrafenib + Trametinib’</w:t>
      </w:r>
    </w:p>
    <w:p w14:paraId="0C5D9F12" w14:textId="5497BB4A" w:rsidR="008C0097" w:rsidRPr="00B15F3D" w:rsidRDefault="00674864">
      <w:pPr>
        <w:pStyle w:val="Compact"/>
        <w:numPr>
          <w:ilvl w:val="0"/>
          <w:numId w:val="5"/>
        </w:numPr>
      </w:pPr>
      <w:r w:rsidRPr="00B15F3D">
        <w:t xml:space="preserve"> ‘Trametinib’ and is immediately followed by a regimen description containing ‘Dabrafenib’ within 31 days -&gt; </w:t>
      </w:r>
      <w:proofErr w:type="spellStart"/>
      <w:r w:rsidRPr="00B15F3D">
        <w:t>categorised</w:t>
      </w:r>
      <w:proofErr w:type="spellEnd"/>
      <w:r w:rsidRPr="00B15F3D">
        <w:t xml:space="preserve"> as combination ‘Dabrafenib + Trametinib’</w:t>
      </w:r>
    </w:p>
    <w:p w14:paraId="7EAC1FDF" w14:textId="5BF8E5A4" w:rsidR="008C0097" w:rsidRPr="00B15F3D" w:rsidRDefault="00674864">
      <w:pPr>
        <w:pStyle w:val="Compact"/>
        <w:numPr>
          <w:ilvl w:val="0"/>
          <w:numId w:val="5"/>
        </w:numPr>
      </w:pPr>
      <w:r w:rsidRPr="00B15F3D">
        <w:t xml:space="preserve"> ‘</w:t>
      </w:r>
      <w:proofErr w:type="spellStart"/>
      <w:r w:rsidRPr="00B15F3D">
        <w:t>Binimetinib</w:t>
      </w:r>
      <w:proofErr w:type="spellEnd"/>
      <w:r w:rsidRPr="00B15F3D">
        <w:t>’ and is immediately followed by a regimen description containing ‘</w:t>
      </w:r>
      <w:proofErr w:type="spellStart"/>
      <w:r w:rsidRPr="00B15F3D">
        <w:t>Encorafenib</w:t>
      </w:r>
      <w:proofErr w:type="spellEnd"/>
      <w:r w:rsidRPr="00B15F3D">
        <w:t xml:space="preserve">’ within 31 days -&gt; </w:t>
      </w:r>
      <w:proofErr w:type="spellStart"/>
      <w:r w:rsidRPr="00B15F3D">
        <w:t>categorised</w:t>
      </w:r>
      <w:proofErr w:type="spellEnd"/>
      <w:r w:rsidRPr="00B15F3D">
        <w:t xml:space="preserve"> as combination ‘</w:t>
      </w:r>
      <w:proofErr w:type="spellStart"/>
      <w:r w:rsidRPr="00B15F3D">
        <w:t>Binimetinib</w:t>
      </w:r>
      <w:proofErr w:type="spellEnd"/>
      <w:r w:rsidRPr="00B15F3D">
        <w:t xml:space="preserve"> + </w:t>
      </w:r>
      <w:proofErr w:type="spellStart"/>
      <w:r w:rsidRPr="00B15F3D">
        <w:t>Encorafenib</w:t>
      </w:r>
      <w:proofErr w:type="spellEnd"/>
      <w:r w:rsidRPr="00B15F3D">
        <w:t>’</w:t>
      </w:r>
    </w:p>
    <w:p w14:paraId="2C4F9FE7" w14:textId="768EA3A9" w:rsidR="008C0097" w:rsidRPr="00B15F3D" w:rsidRDefault="00674864">
      <w:pPr>
        <w:pStyle w:val="Compact"/>
        <w:numPr>
          <w:ilvl w:val="0"/>
          <w:numId w:val="5"/>
        </w:numPr>
      </w:pPr>
      <w:r w:rsidRPr="00B15F3D">
        <w:t xml:space="preserve"> ‘</w:t>
      </w:r>
      <w:proofErr w:type="spellStart"/>
      <w:r w:rsidRPr="00B15F3D">
        <w:t>Encorafenib</w:t>
      </w:r>
      <w:proofErr w:type="spellEnd"/>
      <w:r w:rsidRPr="00B15F3D">
        <w:t>’ and is immediately followed by a regimen description containing ‘</w:t>
      </w:r>
      <w:proofErr w:type="spellStart"/>
      <w:r w:rsidRPr="00B15F3D">
        <w:t>Binimetinib</w:t>
      </w:r>
      <w:proofErr w:type="spellEnd"/>
      <w:r w:rsidRPr="00B15F3D">
        <w:t xml:space="preserve">’ within 31 days -&gt; </w:t>
      </w:r>
      <w:proofErr w:type="spellStart"/>
      <w:r w:rsidRPr="00B15F3D">
        <w:t>categorised</w:t>
      </w:r>
      <w:proofErr w:type="spellEnd"/>
      <w:r w:rsidRPr="00B15F3D">
        <w:t xml:space="preserve"> as combination ‘</w:t>
      </w:r>
      <w:proofErr w:type="spellStart"/>
      <w:r w:rsidRPr="00B15F3D">
        <w:t>Binimetinib</w:t>
      </w:r>
      <w:proofErr w:type="spellEnd"/>
      <w:r w:rsidRPr="00B15F3D">
        <w:t xml:space="preserve"> + </w:t>
      </w:r>
      <w:proofErr w:type="spellStart"/>
      <w:r w:rsidRPr="00B15F3D">
        <w:t>Encorafenib</w:t>
      </w:r>
      <w:proofErr w:type="spellEnd"/>
      <w:r w:rsidRPr="00B15F3D">
        <w:t>’</w:t>
      </w:r>
    </w:p>
    <w:p w14:paraId="05B63E5C" w14:textId="77777777" w:rsidR="008C0097" w:rsidRPr="000F0AEB" w:rsidRDefault="00674864">
      <w:pPr>
        <w:pStyle w:val="Heading4"/>
        <w:rPr>
          <w:color w:val="auto"/>
        </w:rPr>
      </w:pPr>
      <w:bookmarkStart w:id="4" w:name="second-line"/>
      <w:bookmarkEnd w:id="3"/>
      <w:r w:rsidRPr="000F0AEB">
        <w:rPr>
          <w:color w:val="auto"/>
        </w:rPr>
        <w:t>Second line</w:t>
      </w:r>
    </w:p>
    <w:p w14:paraId="3B82EFF1" w14:textId="77777777" w:rsidR="008C0097" w:rsidRPr="00B15F3D" w:rsidRDefault="00674864">
      <w:pPr>
        <w:pStyle w:val="FirstParagraph"/>
      </w:pPr>
      <w:r w:rsidRPr="00B15F3D">
        <w:t>Following this, second line regimens are identified as a change in regimen name following the first line treatment, except where a combination changes to a monotherapy of one of its components, which is considered part of the first line. In most cases, this happens when Ipilimumab + Nivolumab regimens are replaced by Nivolumab maintenance (mono</w:t>
      </w:r>
      <w:proofErr w:type="gramStart"/>
      <w:r w:rsidRPr="00B15F3D">
        <w:t>)therapy</w:t>
      </w:r>
      <w:proofErr w:type="gramEnd"/>
      <w:r w:rsidRPr="00B15F3D">
        <w:t>, which we define as part of the first-line treatment.</w:t>
      </w:r>
    </w:p>
    <w:p w14:paraId="293BC3F3" w14:textId="77777777" w:rsidR="008C0097" w:rsidRPr="000F0AEB" w:rsidRDefault="00674864">
      <w:pPr>
        <w:pStyle w:val="Heading3"/>
        <w:rPr>
          <w:color w:val="auto"/>
        </w:rPr>
      </w:pPr>
      <w:bookmarkStart w:id="5" w:name="cohort-inclusions-exclusions"/>
      <w:bookmarkEnd w:id="2"/>
      <w:bookmarkEnd w:id="4"/>
      <w:r w:rsidRPr="000F0AEB">
        <w:rPr>
          <w:color w:val="auto"/>
        </w:rPr>
        <w:t>Cohort inclusions / exclusions</w:t>
      </w:r>
    </w:p>
    <w:p w14:paraId="74D8FB1E" w14:textId="7BDC3EAE" w:rsidR="008C0097" w:rsidRPr="00B15F3D" w:rsidRDefault="00674864">
      <w:pPr>
        <w:pStyle w:val="FirstParagraph"/>
      </w:pPr>
      <w:r w:rsidRPr="00B15F3D">
        <w:t>Patients were included in this cohort where:</w:t>
      </w:r>
    </w:p>
    <w:p w14:paraId="4326B6CB" w14:textId="27254686" w:rsidR="008C0097" w:rsidRPr="00B15F3D" w:rsidRDefault="00674864">
      <w:pPr>
        <w:pStyle w:val="Compact"/>
        <w:numPr>
          <w:ilvl w:val="0"/>
          <w:numId w:val="6"/>
        </w:numPr>
      </w:pPr>
      <w:r w:rsidRPr="00B15F3D">
        <w:t>Diagnosed between 1st June 2018 and 31st December 2022 (the</w:t>
      </w:r>
      <w:r w:rsidR="00310947" w:rsidRPr="00B15F3D">
        <w:t xml:space="preserve"> latest available year of cancer registration data</w:t>
      </w:r>
      <w:r w:rsidR="00DE28DB" w:rsidRPr="00B15F3D">
        <w:t>, at the time of report production</w:t>
      </w:r>
      <w:r w:rsidRPr="00B15F3D">
        <w:t>)</w:t>
      </w:r>
    </w:p>
    <w:p w14:paraId="3F3F5E31" w14:textId="77777777" w:rsidR="008C0097" w:rsidRPr="00B15F3D" w:rsidRDefault="00674864">
      <w:pPr>
        <w:pStyle w:val="Compact"/>
        <w:numPr>
          <w:ilvl w:val="0"/>
          <w:numId w:val="6"/>
        </w:numPr>
      </w:pPr>
      <w:r w:rsidRPr="00B15F3D">
        <w:t>The country code was ‘England’ based on the patient’s postcode of residence at diagnosis</w:t>
      </w:r>
    </w:p>
    <w:p w14:paraId="7D0D4C79" w14:textId="541FA0B3" w:rsidR="008C0097" w:rsidRPr="00B15F3D" w:rsidRDefault="00674864">
      <w:pPr>
        <w:pStyle w:val="Compact"/>
        <w:numPr>
          <w:ilvl w:val="0"/>
          <w:numId w:val="6"/>
        </w:numPr>
      </w:pPr>
      <w:r w:rsidRPr="00B15F3D">
        <w:t xml:space="preserve">ICD-10 diagnosis code was ‘C43*’ - Malignant melanoma of skin (defined in both registrations data and </w:t>
      </w:r>
      <w:r w:rsidR="00586F5F" w:rsidRPr="00B15F3D">
        <w:t xml:space="preserve">the </w:t>
      </w:r>
      <w:r w:rsidRPr="00B15F3D">
        <w:t>SACT</w:t>
      </w:r>
      <w:r w:rsidR="00586F5F" w:rsidRPr="00B15F3D">
        <w:t xml:space="preserve"> dataset</w:t>
      </w:r>
      <w:r w:rsidRPr="00B15F3D">
        <w:t>)</w:t>
      </w:r>
    </w:p>
    <w:p w14:paraId="023BB386" w14:textId="77777777" w:rsidR="008C0097" w:rsidRPr="00B15F3D" w:rsidRDefault="00674864">
      <w:pPr>
        <w:pStyle w:val="Compact"/>
        <w:numPr>
          <w:ilvl w:val="0"/>
          <w:numId w:val="6"/>
        </w:numPr>
      </w:pPr>
      <w:r w:rsidRPr="00B15F3D">
        <w:t>Age at diagnosis date was 18 or over (defined in registrations data)</w:t>
      </w:r>
    </w:p>
    <w:p w14:paraId="4762CF01" w14:textId="77777777" w:rsidR="008C0097" w:rsidRPr="00B15F3D" w:rsidRDefault="00674864">
      <w:pPr>
        <w:pStyle w:val="Compact"/>
        <w:numPr>
          <w:ilvl w:val="0"/>
          <w:numId w:val="6"/>
        </w:numPr>
      </w:pPr>
      <w:r w:rsidRPr="00B15F3D">
        <w:t>Gender field was known (male or female in registrations data)</w:t>
      </w:r>
    </w:p>
    <w:p w14:paraId="34AC4377" w14:textId="77777777" w:rsidR="008C0097" w:rsidRPr="00B15F3D" w:rsidRDefault="00674864">
      <w:pPr>
        <w:pStyle w:val="Compact"/>
        <w:numPr>
          <w:ilvl w:val="0"/>
          <w:numId w:val="6"/>
        </w:numPr>
      </w:pPr>
      <w:r w:rsidRPr="00B15F3D">
        <w:t>Only a single melanoma tumour was recorded in the period</w:t>
      </w:r>
    </w:p>
    <w:p w14:paraId="4FA4FE80" w14:textId="77777777" w:rsidR="008C0097" w:rsidRPr="00B15F3D" w:rsidRDefault="00674864">
      <w:pPr>
        <w:pStyle w:val="Compact"/>
        <w:numPr>
          <w:ilvl w:val="0"/>
          <w:numId w:val="6"/>
        </w:numPr>
      </w:pPr>
      <w:r w:rsidRPr="00B15F3D">
        <w:t>Recorded SACT treatment was not given as part of a trial (defined using SACT clinical trial field and regimen description)</w:t>
      </w:r>
    </w:p>
    <w:p w14:paraId="07C45F47" w14:textId="77777777" w:rsidR="008C0097" w:rsidRPr="00B15F3D" w:rsidRDefault="00674864">
      <w:pPr>
        <w:pStyle w:val="Compact"/>
        <w:numPr>
          <w:ilvl w:val="0"/>
          <w:numId w:val="6"/>
        </w:numPr>
      </w:pPr>
      <w:r w:rsidRPr="00B15F3D">
        <w:t>Tumour stage (at diagnosis) was 3 or 4</w:t>
      </w:r>
    </w:p>
    <w:p w14:paraId="1387D40D" w14:textId="77777777" w:rsidR="008C0097" w:rsidRPr="00B15F3D" w:rsidRDefault="00674864">
      <w:pPr>
        <w:pStyle w:val="Compact"/>
        <w:numPr>
          <w:ilvl w:val="0"/>
          <w:numId w:val="6"/>
        </w:numPr>
      </w:pPr>
      <w:r w:rsidRPr="00B15F3D">
        <w:t>Intent of treatment fields (in SACT) contained at least one of the following</w:t>
      </w:r>
    </w:p>
    <w:p w14:paraId="5CDEC579" w14:textId="77777777" w:rsidR="008C0097" w:rsidRPr="00B15F3D" w:rsidRDefault="00674864" w:rsidP="00CD33B2">
      <w:pPr>
        <w:pStyle w:val="Compact"/>
        <w:numPr>
          <w:ilvl w:val="1"/>
          <w:numId w:val="6"/>
        </w:numPr>
      </w:pPr>
      <w:r w:rsidRPr="00B15F3D">
        <w:t>Palliative</w:t>
      </w:r>
    </w:p>
    <w:p w14:paraId="694A891F" w14:textId="77777777" w:rsidR="008C0097" w:rsidRPr="00B15F3D" w:rsidRDefault="00674864" w:rsidP="00CD33B2">
      <w:pPr>
        <w:pStyle w:val="Compact"/>
        <w:numPr>
          <w:ilvl w:val="1"/>
          <w:numId w:val="6"/>
        </w:numPr>
      </w:pPr>
      <w:r w:rsidRPr="00B15F3D">
        <w:t>Disease Modification</w:t>
      </w:r>
    </w:p>
    <w:p w14:paraId="6B7B661E" w14:textId="77777777" w:rsidR="008C0097" w:rsidRPr="00B15F3D" w:rsidRDefault="00674864" w:rsidP="00CD33B2">
      <w:pPr>
        <w:pStyle w:val="Compact"/>
        <w:numPr>
          <w:ilvl w:val="1"/>
          <w:numId w:val="6"/>
        </w:numPr>
      </w:pPr>
      <w:r w:rsidRPr="00B15F3D">
        <w:lastRenderedPageBreak/>
        <w:t>Palliative - Aiming to extend life expectancy</w:t>
      </w:r>
    </w:p>
    <w:p w14:paraId="78097066" w14:textId="77777777" w:rsidR="008C0097" w:rsidRPr="00B15F3D" w:rsidRDefault="00674864" w:rsidP="00CD33B2">
      <w:pPr>
        <w:pStyle w:val="Compact"/>
        <w:numPr>
          <w:ilvl w:val="1"/>
          <w:numId w:val="6"/>
        </w:numPr>
      </w:pPr>
      <w:r w:rsidRPr="00B15F3D">
        <w:t>Palliative - Aiming to relieve or control malignancy related symptoms</w:t>
      </w:r>
    </w:p>
    <w:p w14:paraId="1D2A01A7" w14:textId="77777777" w:rsidR="008C0097" w:rsidRPr="00B15F3D" w:rsidRDefault="00674864" w:rsidP="00CD33B2">
      <w:pPr>
        <w:pStyle w:val="Compact"/>
        <w:numPr>
          <w:ilvl w:val="1"/>
          <w:numId w:val="6"/>
        </w:numPr>
      </w:pPr>
      <w:r w:rsidRPr="00B15F3D">
        <w:t>Palliative - Aiming to relieve and/or control malignancy related symptoms</w:t>
      </w:r>
    </w:p>
    <w:p w14:paraId="6F8E1C3C" w14:textId="77777777" w:rsidR="008C0097" w:rsidRPr="00B15F3D" w:rsidRDefault="00674864" w:rsidP="00CD33B2">
      <w:pPr>
        <w:pStyle w:val="Compact"/>
        <w:numPr>
          <w:ilvl w:val="1"/>
          <w:numId w:val="6"/>
        </w:numPr>
      </w:pPr>
      <w:r w:rsidRPr="00B15F3D">
        <w:t>Palliative - Aiming to achieve remission</w:t>
      </w:r>
    </w:p>
    <w:p w14:paraId="39DE2F52" w14:textId="77777777" w:rsidR="008C0097" w:rsidRPr="00B15F3D" w:rsidRDefault="00674864" w:rsidP="00CD33B2">
      <w:pPr>
        <w:pStyle w:val="Compact"/>
        <w:numPr>
          <w:ilvl w:val="1"/>
          <w:numId w:val="6"/>
        </w:numPr>
      </w:pPr>
      <w:r w:rsidRPr="00B15F3D">
        <w:t>Palliative - Aiming to delay tumour progression</w:t>
      </w:r>
    </w:p>
    <w:p w14:paraId="3BA5EBF4" w14:textId="77777777" w:rsidR="00CD33B2" w:rsidRPr="000F0AEB" w:rsidRDefault="00CD33B2">
      <w:pPr>
        <w:rPr>
          <w:rFonts w:asciiTheme="majorHAnsi" w:eastAsiaTheme="majorEastAsia" w:hAnsiTheme="majorHAnsi" w:cstheme="majorBidi"/>
          <w:bCs/>
          <w:i/>
        </w:rPr>
      </w:pPr>
      <w:bookmarkStart w:id="6" w:name="flow-chart"/>
      <w:r w:rsidRPr="00B15F3D">
        <w:br w:type="page"/>
      </w:r>
    </w:p>
    <w:tbl>
      <w:tblPr>
        <w:tblStyle w:val="Table"/>
        <w:tblW w:w="5000" w:type="pct"/>
        <w:tblLook w:val="0020" w:firstRow="1" w:lastRow="0" w:firstColumn="0" w:lastColumn="0" w:noHBand="0" w:noVBand="0"/>
      </w:tblPr>
      <w:tblGrid>
        <w:gridCol w:w="9360"/>
      </w:tblGrid>
      <w:tr w:rsidR="00B15F3D" w:rsidRPr="00B15F3D" w14:paraId="5ECEF44D" w14:textId="77777777" w:rsidTr="000F0AEB">
        <w:trPr>
          <w:cnfStyle w:val="100000000000" w:firstRow="1" w:lastRow="0" w:firstColumn="0" w:lastColumn="0" w:oddVBand="0" w:evenVBand="0" w:oddHBand="0" w:evenHBand="0" w:firstRowFirstColumn="0" w:firstRowLastColumn="0" w:lastRowFirstColumn="0" w:lastRowLastColumn="0"/>
        </w:trPr>
        <w:tc>
          <w:tcPr>
            <w:tcW w:w="0" w:type="auto"/>
          </w:tcPr>
          <w:p w14:paraId="53EA998C" w14:textId="6759D444" w:rsidR="00CD33B2" w:rsidRPr="00B15F3D" w:rsidRDefault="00CD33B2" w:rsidP="00CD33B2">
            <w:pPr>
              <w:rPr>
                <w:b/>
                <w:bCs/>
                <w:i/>
                <w:iCs/>
                <w:noProof/>
              </w:rPr>
            </w:pPr>
            <w:r w:rsidRPr="00B15F3D">
              <w:rPr>
                <w:b/>
                <w:bCs/>
                <w:i/>
                <w:iCs/>
              </w:rPr>
              <w:lastRenderedPageBreak/>
              <w:t>Figure 1: Inclusion / Exclusion Flow Chart</w:t>
            </w:r>
          </w:p>
          <w:p w14:paraId="35D2A4DA" w14:textId="1856C5AF" w:rsidR="008C0097" w:rsidRPr="00B15F3D" w:rsidRDefault="00674864">
            <w:pPr>
              <w:jc w:val="center"/>
            </w:pPr>
            <w:r w:rsidRPr="00B15F3D">
              <w:rPr>
                <w:noProof/>
              </w:rPr>
              <w:drawing>
                <wp:inline distT="0" distB="0" distL="0" distR="0" wp14:anchorId="6EF396CA" wp14:editId="11ECBCD8">
                  <wp:extent cx="5943600" cy="3567506"/>
                  <wp:effectExtent l="0" t="0" r="0" b="0"/>
                  <wp:docPr id="27" name="Picture" title="A flowchart showing how exclusion criteria reduce the sample to 2334 cases"/>
                  <wp:cNvGraphicFramePr/>
                  <a:graphic xmlns:a="http://schemas.openxmlformats.org/drawingml/2006/main">
                    <a:graphicData uri="http://schemas.openxmlformats.org/drawingml/2006/picture">
                      <pic:pic xmlns:pic="http://schemas.openxmlformats.org/drawingml/2006/picture">
                        <pic:nvPicPr>
                          <pic:cNvPr id="28" name="Picture" descr="ID3863_Lifileucel_melanoma_files/figure-docx/unnamed-chunk-5-1.png"/>
                          <pic:cNvPicPr>
                            <a:picLocks noChangeAspect="1" noChangeArrowheads="1"/>
                          </pic:cNvPicPr>
                        </pic:nvPicPr>
                        <pic:blipFill>
                          <a:blip r:embed="rId12"/>
                          <a:stretch>
                            <a:fillRect/>
                          </a:stretch>
                        </pic:blipFill>
                        <pic:spPr bwMode="auto">
                          <a:xfrm>
                            <a:off x="0" y="0"/>
                            <a:ext cx="5943600" cy="3567506"/>
                          </a:xfrm>
                          <a:prstGeom prst="rect">
                            <a:avLst/>
                          </a:prstGeom>
                          <a:noFill/>
                          <a:ln w="9525">
                            <a:noFill/>
                            <a:headEnd/>
                            <a:tailEnd/>
                          </a:ln>
                        </pic:spPr>
                      </pic:pic>
                    </a:graphicData>
                  </a:graphic>
                </wp:inline>
              </w:drawing>
            </w:r>
          </w:p>
          <w:p w14:paraId="6D0B1FC7" w14:textId="571845DA" w:rsidR="008C0097" w:rsidRPr="00B15F3D" w:rsidRDefault="008C0097">
            <w:pPr>
              <w:pStyle w:val="ImageCaption"/>
              <w:spacing w:before="200"/>
            </w:pPr>
          </w:p>
        </w:tc>
      </w:tr>
    </w:tbl>
    <w:p w14:paraId="447F141A" w14:textId="77777777" w:rsidR="008C0097" w:rsidRPr="000F0AEB" w:rsidRDefault="00674864">
      <w:pPr>
        <w:pStyle w:val="Heading3"/>
        <w:rPr>
          <w:color w:val="auto"/>
        </w:rPr>
      </w:pPr>
      <w:bookmarkStart w:id="7" w:name="patient-acknowledgement"/>
      <w:bookmarkEnd w:id="5"/>
      <w:bookmarkEnd w:id="6"/>
      <w:r w:rsidRPr="000F0AEB">
        <w:rPr>
          <w:color w:val="auto"/>
        </w:rPr>
        <w:t>Patient Acknowledgement</w:t>
      </w:r>
    </w:p>
    <w:p w14:paraId="5A32F306" w14:textId="475DFB25" w:rsidR="008C0097" w:rsidRPr="00B15F3D" w:rsidRDefault="00674864">
      <w:pPr>
        <w:pStyle w:val="FirstParagraph"/>
      </w:pPr>
      <w:r w:rsidRPr="00B15F3D">
        <w:t xml:space="preserve">This work uses data that has been provided by patients and collected by the NHS as part of their care and support. The data is collated, maintained and quality assured by the National </w:t>
      </w:r>
      <w:r w:rsidR="001C726A" w:rsidRPr="00B15F3D">
        <w:t>Disease Registration</w:t>
      </w:r>
      <w:r w:rsidRPr="00B15F3D">
        <w:t xml:space="preserve"> Service, which is part of NHS England.</w:t>
      </w:r>
    </w:p>
    <w:p w14:paraId="6FA21541" w14:textId="77777777" w:rsidR="008C0097" w:rsidRPr="00B15F3D" w:rsidRDefault="00674864">
      <w:r w:rsidRPr="00B15F3D">
        <w:br w:type="page"/>
      </w:r>
    </w:p>
    <w:p w14:paraId="381643EB" w14:textId="77777777" w:rsidR="008C0097" w:rsidRPr="000F0AEB" w:rsidRDefault="00674864">
      <w:pPr>
        <w:pStyle w:val="Heading2"/>
        <w:rPr>
          <w:color w:val="auto"/>
        </w:rPr>
      </w:pPr>
      <w:bookmarkStart w:id="8" w:name="results"/>
      <w:bookmarkEnd w:id="1"/>
      <w:bookmarkEnd w:id="7"/>
      <w:r w:rsidRPr="000F0AEB">
        <w:rPr>
          <w:color w:val="auto"/>
        </w:rPr>
        <w:lastRenderedPageBreak/>
        <w:t>Results</w:t>
      </w:r>
    </w:p>
    <w:p w14:paraId="49385806" w14:textId="77777777" w:rsidR="008C0097" w:rsidRPr="000F0AEB" w:rsidRDefault="00674864">
      <w:pPr>
        <w:pStyle w:val="Heading3"/>
        <w:rPr>
          <w:color w:val="auto"/>
        </w:rPr>
      </w:pPr>
      <w:bookmarkStart w:id="9" w:name="age-at-start-of-treatment"/>
      <w:r w:rsidRPr="000F0AEB">
        <w:rPr>
          <w:color w:val="auto"/>
        </w:rPr>
        <w:t>Age at start of treatment</w:t>
      </w:r>
    </w:p>
    <w:p w14:paraId="1195CD3A" w14:textId="5C31FACB" w:rsidR="008C0097" w:rsidRPr="00B15F3D" w:rsidRDefault="00674864">
      <w:pPr>
        <w:pStyle w:val="FirstParagraph"/>
      </w:pPr>
      <w:r w:rsidRPr="00B15F3D">
        <w:t xml:space="preserve">The table below sets out the mean age, </w:t>
      </w:r>
      <w:r w:rsidR="00824579" w:rsidRPr="00B15F3D">
        <w:t>standard (</w:t>
      </w:r>
      <w:r w:rsidRPr="00B15F3D">
        <w:t>std.</w:t>
      </w:r>
      <w:r w:rsidR="006C2FB3" w:rsidRPr="00B15F3D">
        <w:t>)</w:t>
      </w:r>
      <w:r w:rsidRPr="00B15F3D">
        <w:t xml:space="preserve"> deviation, median age and </w:t>
      </w:r>
      <w:r w:rsidR="006C2FB3" w:rsidRPr="00B15F3D">
        <w:t>interquartile range (</w:t>
      </w:r>
      <w:r w:rsidRPr="00B15F3D">
        <w:t>IQR</w:t>
      </w:r>
      <w:r w:rsidR="006C2FB3" w:rsidRPr="00B15F3D">
        <w:t>)</w:t>
      </w:r>
      <w:r w:rsidRPr="00B15F3D">
        <w:t xml:space="preserve"> of patients who have received systemic treatment for unresectable or metastatic melanoma. Age is measured at the commencement of the first treatment regimen.</w:t>
      </w:r>
    </w:p>
    <w:p w14:paraId="3AEEE4E4" w14:textId="5835C639" w:rsidR="008C0097" w:rsidRPr="00B15F3D" w:rsidRDefault="00824579">
      <w:pPr>
        <w:pStyle w:val="TableCaption"/>
        <w:rPr>
          <w:b/>
          <w:bCs/>
        </w:rPr>
      </w:pPr>
      <w:bookmarkStart w:id="10" w:name="tbl-one-age"/>
      <w:r w:rsidRPr="00B15F3D">
        <w:rPr>
          <w:b/>
          <w:bCs/>
        </w:rPr>
        <w:t>Table 1: Mean age, standard deviation, median age and IQR of patients who have received systemic treatment for unresectable or metastatic melanoma</w:t>
      </w:r>
    </w:p>
    <w:tbl>
      <w:tblPr>
        <w:tblStyle w:val="Table"/>
        <w:tblW w:w="0" w:type="auto"/>
        <w:tblLook w:val="0020" w:firstRow="1" w:lastRow="0" w:firstColumn="0" w:lastColumn="0" w:noHBand="0" w:noVBand="0"/>
        <w:tblCaption w:val="Table 1: Age Statistics by Gender"/>
      </w:tblPr>
      <w:tblGrid>
        <w:gridCol w:w="222"/>
      </w:tblGrid>
      <w:tr w:rsidR="00B15F3D" w:rsidRPr="00B15F3D" w14:paraId="33596515" w14:textId="77777777" w:rsidTr="000F0AEB">
        <w:trPr>
          <w:cnfStyle w:val="100000000000" w:firstRow="1" w:lastRow="0" w:firstColumn="0" w:lastColumn="0" w:oddVBand="0" w:evenVBand="0" w:oddHBand="0" w:evenHBand="0" w:firstRowFirstColumn="0" w:firstRowLastColumn="0" w:lastRowFirstColumn="0" w:lastRowLastColumn="0"/>
        </w:trPr>
        <w:tc>
          <w:tcPr>
            <w:tcW w:w="0" w:type="auto"/>
          </w:tcPr>
          <w:p w14:paraId="79CFC8DB" w14:textId="77777777" w:rsidR="008C0097" w:rsidRPr="00B15F3D" w:rsidRDefault="008C0097">
            <w:pPr>
              <w:pStyle w:val="Compact"/>
            </w:pPr>
          </w:p>
        </w:tc>
      </w:tr>
    </w:tbl>
    <w:tbl>
      <w:tblPr>
        <w:tblW w:w="0" w:type="auto"/>
        <w:jc w:val="center"/>
        <w:tblCellMar>
          <w:left w:w="60" w:type="dxa"/>
          <w:right w:w="60" w:type="dxa"/>
        </w:tblCellMar>
        <w:tblLook w:val="0000" w:firstRow="0" w:lastRow="0" w:firstColumn="0" w:lastColumn="0" w:noHBand="0" w:noVBand="0"/>
        <w:tblCaption w:val="Table 1: Age Statistics by Gender"/>
      </w:tblPr>
      <w:tblGrid>
        <w:gridCol w:w="1991"/>
        <w:gridCol w:w="1756"/>
        <w:gridCol w:w="1756"/>
      </w:tblGrid>
      <w:tr w:rsidR="00B15F3D" w:rsidRPr="00B15F3D" w14:paraId="4C224A55" w14:textId="77777777" w:rsidTr="000F0AEB">
        <w:trPr>
          <w:cantSplit/>
          <w:tblHeader/>
          <w:jc w:val="center"/>
        </w:trPr>
        <w:tc>
          <w:tcPr>
            <w:tcW w:w="0" w:type="auto"/>
            <w:tcBorders>
              <w:top w:val="single" w:sz="4" w:space="0" w:color="auto"/>
              <w:left w:val="single" w:sz="4" w:space="0" w:color="auto"/>
              <w:bottom w:val="single" w:sz="4" w:space="0" w:color="auto"/>
              <w:right w:val="single" w:sz="4" w:space="0" w:color="auto"/>
            </w:tcBorders>
          </w:tcPr>
          <w:bookmarkEnd w:id="10"/>
          <w:p w14:paraId="0787A349" w14:textId="77777777" w:rsidR="008C0097" w:rsidRPr="00B15F3D" w:rsidRDefault="00674864">
            <w:pPr>
              <w:keepNext/>
              <w:spacing w:after="60"/>
            </w:pPr>
            <w:r w:rsidRPr="00B15F3D">
              <w:rPr>
                <w:rFonts w:ascii="Calibri" w:hAnsi="Calibri"/>
                <w:b/>
                <w:sz w:val="20"/>
              </w:rPr>
              <w:t>Characteristic</w:t>
            </w:r>
          </w:p>
        </w:tc>
        <w:tc>
          <w:tcPr>
            <w:tcW w:w="0" w:type="auto"/>
            <w:tcBorders>
              <w:top w:val="single" w:sz="4" w:space="0" w:color="auto"/>
              <w:left w:val="single" w:sz="4" w:space="0" w:color="auto"/>
              <w:bottom w:val="single" w:sz="4" w:space="0" w:color="auto"/>
              <w:right w:val="single" w:sz="4" w:space="0" w:color="auto"/>
            </w:tcBorders>
          </w:tcPr>
          <w:p w14:paraId="798FD406" w14:textId="77777777" w:rsidR="008C0097" w:rsidRPr="00B15F3D" w:rsidRDefault="00674864">
            <w:pPr>
              <w:keepNext/>
              <w:spacing w:after="60"/>
              <w:jc w:val="center"/>
            </w:pPr>
            <w:r w:rsidRPr="00B15F3D">
              <w:rPr>
                <w:rFonts w:ascii="Calibri" w:hAnsi="Calibri"/>
                <w:b/>
                <w:sz w:val="20"/>
              </w:rPr>
              <w:t>Female</w:t>
            </w:r>
            <w:r w:rsidRPr="00B15F3D">
              <w:rPr>
                <w:rFonts w:ascii="Calibri" w:hAnsi="Calibri"/>
                <w:sz w:val="20"/>
              </w:rPr>
              <w:t xml:space="preserve"> N = 889</w:t>
            </w:r>
            <w:r w:rsidRPr="00B15F3D">
              <w:rPr>
                <w:rFonts w:ascii="Calibri" w:hAnsi="Calibri"/>
                <w:i/>
                <w:sz w:val="20"/>
                <w:vertAlign w:val="superscript"/>
              </w:rPr>
              <w:t>1</w:t>
            </w:r>
          </w:p>
        </w:tc>
        <w:tc>
          <w:tcPr>
            <w:tcW w:w="0" w:type="auto"/>
            <w:tcBorders>
              <w:top w:val="single" w:sz="4" w:space="0" w:color="auto"/>
              <w:left w:val="single" w:sz="4" w:space="0" w:color="auto"/>
              <w:bottom w:val="single" w:sz="4" w:space="0" w:color="auto"/>
              <w:right w:val="single" w:sz="4" w:space="0" w:color="auto"/>
            </w:tcBorders>
          </w:tcPr>
          <w:p w14:paraId="1DC5E657" w14:textId="77777777" w:rsidR="008C0097" w:rsidRPr="00B15F3D" w:rsidRDefault="00674864">
            <w:pPr>
              <w:keepNext/>
              <w:spacing w:after="60"/>
              <w:jc w:val="center"/>
            </w:pPr>
            <w:r w:rsidRPr="00B15F3D">
              <w:rPr>
                <w:rFonts w:ascii="Calibri" w:hAnsi="Calibri"/>
                <w:b/>
                <w:sz w:val="20"/>
              </w:rPr>
              <w:t>Male</w:t>
            </w:r>
            <w:r w:rsidRPr="00B15F3D">
              <w:rPr>
                <w:rFonts w:ascii="Calibri" w:hAnsi="Calibri"/>
                <w:sz w:val="20"/>
              </w:rPr>
              <w:t xml:space="preserve"> N = 1,445</w:t>
            </w:r>
            <w:r w:rsidRPr="00B15F3D">
              <w:rPr>
                <w:rFonts w:ascii="Calibri" w:hAnsi="Calibri"/>
                <w:i/>
                <w:sz w:val="20"/>
                <w:vertAlign w:val="superscript"/>
              </w:rPr>
              <w:t>1</w:t>
            </w:r>
          </w:p>
        </w:tc>
      </w:tr>
      <w:tr w:rsidR="00B15F3D" w:rsidRPr="00B15F3D" w14:paraId="3760A427" w14:textId="77777777" w:rsidTr="000F0AEB">
        <w:trPr>
          <w:cantSplit/>
          <w:jc w:val="center"/>
        </w:trPr>
        <w:tc>
          <w:tcPr>
            <w:tcW w:w="0" w:type="auto"/>
            <w:tcBorders>
              <w:top w:val="single" w:sz="4" w:space="0" w:color="auto"/>
              <w:left w:val="single" w:sz="0" w:space="0" w:color="D3D3D3"/>
              <w:bottom w:val="single" w:sz="0" w:space="0" w:color="D3D3D3"/>
              <w:right w:val="single" w:sz="0" w:space="0" w:color="D3D3D3"/>
            </w:tcBorders>
          </w:tcPr>
          <w:p w14:paraId="5A8A7798" w14:textId="77777777" w:rsidR="008C0097" w:rsidRPr="00B15F3D" w:rsidRDefault="00674864">
            <w:pPr>
              <w:keepNext/>
              <w:spacing w:after="60"/>
            </w:pPr>
            <w:r w:rsidRPr="00B15F3D">
              <w:rPr>
                <w:rFonts w:ascii="Calibri" w:hAnsi="Calibri"/>
                <w:sz w:val="20"/>
              </w:rPr>
              <w:t>Age at start of regimen</w:t>
            </w:r>
          </w:p>
        </w:tc>
        <w:tc>
          <w:tcPr>
            <w:tcW w:w="0" w:type="auto"/>
            <w:tcBorders>
              <w:top w:val="single" w:sz="4" w:space="0" w:color="auto"/>
              <w:left w:val="single" w:sz="0" w:space="0" w:color="D3D3D3"/>
              <w:bottom w:val="single" w:sz="0" w:space="0" w:color="D3D3D3"/>
              <w:right w:val="single" w:sz="0" w:space="0" w:color="D3D3D3"/>
            </w:tcBorders>
          </w:tcPr>
          <w:p w14:paraId="0D1ADE75" w14:textId="77777777" w:rsidR="008C0097" w:rsidRPr="00B15F3D" w:rsidRDefault="00674864">
            <w:pPr>
              <w:keepNext/>
              <w:spacing w:after="60"/>
              <w:jc w:val="center"/>
            </w:pPr>
            <w:r w:rsidRPr="00B15F3D">
              <w:rPr>
                <w:rFonts w:ascii="Calibri" w:hAnsi="Calibri"/>
                <w:sz w:val="20"/>
              </w:rPr>
              <w:t>65, (14</w:t>
            </w:r>
            <w:proofErr w:type="gramStart"/>
            <w:r w:rsidRPr="00B15F3D">
              <w:rPr>
                <w:rFonts w:ascii="Calibri" w:hAnsi="Calibri"/>
                <w:sz w:val="20"/>
              </w:rPr>
              <w:t>) :</w:t>
            </w:r>
            <w:proofErr w:type="gramEnd"/>
            <w:r w:rsidRPr="00B15F3D">
              <w:rPr>
                <w:rFonts w:ascii="Calibri" w:hAnsi="Calibri"/>
                <w:sz w:val="20"/>
              </w:rPr>
              <w:t xml:space="preserve"> 67 (55, 76)</w:t>
            </w:r>
          </w:p>
        </w:tc>
        <w:tc>
          <w:tcPr>
            <w:tcW w:w="0" w:type="auto"/>
            <w:tcBorders>
              <w:top w:val="single" w:sz="4" w:space="0" w:color="auto"/>
              <w:left w:val="single" w:sz="0" w:space="0" w:color="D3D3D3"/>
              <w:bottom w:val="single" w:sz="0" w:space="0" w:color="D3D3D3"/>
              <w:right w:val="single" w:sz="0" w:space="0" w:color="D3D3D3"/>
            </w:tcBorders>
          </w:tcPr>
          <w:p w14:paraId="5AD4F8FB" w14:textId="77777777" w:rsidR="008C0097" w:rsidRPr="00B15F3D" w:rsidRDefault="00674864">
            <w:pPr>
              <w:keepNext/>
              <w:spacing w:after="60"/>
              <w:jc w:val="center"/>
            </w:pPr>
            <w:r w:rsidRPr="00B15F3D">
              <w:rPr>
                <w:rFonts w:ascii="Calibri" w:hAnsi="Calibri"/>
                <w:sz w:val="20"/>
              </w:rPr>
              <w:t>67, (13</w:t>
            </w:r>
            <w:proofErr w:type="gramStart"/>
            <w:r w:rsidRPr="00B15F3D">
              <w:rPr>
                <w:rFonts w:ascii="Calibri" w:hAnsi="Calibri"/>
                <w:sz w:val="20"/>
              </w:rPr>
              <w:t>) :</w:t>
            </w:r>
            <w:proofErr w:type="gramEnd"/>
            <w:r w:rsidRPr="00B15F3D">
              <w:rPr>
                <w:rFonts w:ascii="Calibri" w:hAnsi="Calibri"/>
                <w:sz w:val="20"/>
              </w:rPr>
              <w:t xml:space="preserve"> 69 (59, 77)</w:t>
            </w:r>
          </w:p>
        </w:tc>
      </w:tr>
      <w:tr w:rsidR="00B15F3D" w:rsidRPr="00B15F3D" w14:paraId="6746EBC0" w14:textId="77777777">
        <w:trPr>
          <w:cantSplit/>
          <w:jc w:val="center"/>
        </w:trPr>
        <w:tc>
          <w:tcPr>
            <w:tcW w:w="0" w:type="auto"/>
            <w:gridSpan w:val="3"/>
          </w:tcPr>
          <w:p w14:paraId="11864663" w14:textId="77777777" w:rsidR="008C0097" w:rsidRPr="00B15F3D" w:rsidRDefault="00674864">
            <w:pPr>
              <w:keepNext/>
              <w:spacing w:after="60"/>
            </w:pPr>
            <w:r w:rsidRPr="00B15F3D">
              <w:rPr>
                <w:rFonts w:ascii="Calibri" w:hAnsi="Calibri"/>
                <w:i/>
                <w:sz w:val="20"/>
                <w:vertAlign w:val="superscript"/>
              </w:rPr>
              <w:t>1</w:t>
            </w:r>
            <w:r w:rsidRPr="00B15F3D">
              <w:rPr>
                <w:rFonts w:ascii="Calibri" w:hAnsi="Calibri"/>
                <w:sz w:val="20"/>
              </w:rPr>
              <w:t>Mean, (SD</w:t>
            </w:r>
            <w:proofErr w:type="gramStart"/>
            <w:r w:rsidRPr="00B15F3D">
              <w:rPr>
                <w:rFonts w:ascii="Calibri" w:hAnsi="Calibri"/>
                <w:sz w:val="20"/>
              </w:rPr>
              <w:t>) :</w:t>
            </w:r>
            <w:proofErr w:type="gramEnd"/>
            <w:r w:rsidRPr="00B15F3D">
              <w:rPr>
                <w:rFonts w:ascii="Calibri" w:hAnsi="Calibri"/>
                <w:sz w:val="20"/>
              </w:rPr>
              <w:t xml:space="preserve"> Median (Q1, Q3)</w:t>
            </w:r>
          </w:p>
        </w:tc>
      </w:tr>
    </w:tbl>
    <w:p w14:paraId="26CF0FE6" w14:textId="77777777" w:rsidR="008C0097" w:rsidRPr="000F0AEB" w:rsidRDefault="00674864">
      <w:pPr>
        <w:pStyle w:val="Heading3"/>
        <w:rPr>
          <w:color w:val="auto"/>
        </w:rPr>
      </w:pPr>
      <w:bookmarkStart w:id="11" w:name="treatment-counts"/>
      <w:bookmarkEnd w:id="9"/>
      <w:r w:rsidRPr="000F0AEB">
        <w:rPr>
          <w:color w:val="auto"/>
        </w:rPr>
        <w:t>Treatment Counts</w:t>
      </w:r>
    </w:p>
    <w:p w14:paraId="70A1BAA6" w14:textId="2CF9B298" w:rsidR="008C0097" w:rsidRPr="00B15F3D" w:rsidRDefault="00674864">
      <w:pPr>
        <w:pStyle w:val="FirstParagraph"/>
      </w:pPr>
      <w:r w:rsidRPr="00B15F3D">
        <w:t xml:space="preserve">The tables below set out the indicative count of patients for the first two lines of treatment, excluding best supportive care (no life extending treatment) details of which are out of the scope of SACT data collections. Regimen descriptions including hormones, zoledronic acid, </w:t>
      </w:r>
      <w:proofErr w:type="spellStart"/>
      <w:r w:rsidRPr="00B15F3D">
        <w:t>denusumab</w:t>
      </w:r>
      <w:proofErr w:type="spellEnd"/>
      <w:r w:rsidRPr="00B15F3D">
        <w:t xml:space="preserve"> and bleomycin were removed as not being </w:t>
      </w:r>
      <w:r w:rsidR="00586F5F" w:rsidRPr="00B15F3D">
        <w:t xml:space="preserve">relevant </w:t>
      </w:r>
      <w:r w:rsidRPr="00B15F3D">
        <w:t>to the analysis.</w:t>
      </w:r>
    </w:p>
    <w:p w14:paraId="0782792E" w14:textId="78DFBF9B" w:rsidR="006C2FB3" w:rsidRPr="00B15F3D" w:rsidRDefault="00674864">
      <w:pPr>
        <w:pStyle w:val="BodyText"/>
      </w:pPr>
      <w:r w:rsidRPr="00B15F3D">
        <w:t>Note also that amalgamating regimens into lines of treatment can be difficult. For example, if a patient has a record of a</w:t>
      </w:r>
      <w:r w:rsidR="001C726A" w:rsidRPr="00B15F3D">
        <w:t>n</w:t>
      </w:r>
      <w:r w:rsidRPr="00B15F3D">
        <w:t xml:space="preserve"> Ipilimumab + Nivolumab regimen, followed by a Nivolumab monotherapy regimen, this may be the expected move to maintenance therapy, or a genuine switch to Nivolumab monotherapy. For second line </w:t>
      </w:r>
      <w:proofErr w:type="spellStart"/>
      <w:r w:rsidRPr="00B15F3D">
        <w:t>categorisation</w:t>
      </w:r>
      <w:proofErr w:type="spellEnd"/>
      <w:r w:rsidRPr="00B15F3D">
        <w:t xml:space="preserve"> purposes, we have assumed that where the regimen description indicates a combination therapy (for example Ipilimumab + Nivolumab) </w:t>
      </w:r>
      <w:r w:rsidR="00586F5F" w:rsidRPr="00B15F3D">
        <w:t xml:space="preserve">and </w:t>
      </w:r>
      <w:r w:rsidRPr="00B15F3D">
        <w:t>is followed by a monotherapy of one of the components, this is either a case of maintenance therapy (Nivolumab maintenance following Ipilimumab), or a data entry issue where the regimen was split across multiple lines, not a genuine second line treatment. This approach may understate the number of monotherapies in some circumstances. Further details of the approach are set out in the method section above. Of the 2334 first line cases, 11 had a revised description applied to them. 5 split regimens of Trametinib and Dabrafenib were reassigned to ‘Dabrafenib + Trametinib’ and 6 split regimens of Ipilimumab and Nivolumab were assigned to ‘Ipilimumab + Nivolumab’.</w:t>
      </w:r>
    </w:p>
    <w:p w14:paraId="405A71CA" w14:textId="77777777" w:rsidR="006C2FB3" w:rsidRPr="00B15F3D" w:rsidRDefault="006C2FB3">
      <w:r w:rsidRPr="00B15F3D">
        <w:br w:type="page"/>
      </w:r>
    </w:p>
    <w:p w14:paraId="3794C863" w14:textId="77777777" w:rsidR="008C0097" w:rsidRPr="00B15F3D" w:rsidRDefault="008C0097">
      <w:pPr>
        <w:pStyle w:val="BodyText"/>
      </w:pPr>
    </w:p>
    <w:p w14:paraId="336F8B64" w14:textId="77777777" w:rsidR="008C0097" w:rsidRPr="000F0AEB" w:rsidRDefault="00674864">
      <w:pPr>
        <w:pStyle w:val="Heading3"/>
        <w:rPr>
          <w:color w:val="auto"/>
        </w:rPr>
      </w:pPr>
      <w:bookmarkStart w:id="12" w:name="X49b4cc8a318fb5b9759470abbb958f2d52deed5"/>
      <w:bookmarkEnd w:id="11"/>
      <w:r w:rsidRPr="000F0AEB">
        <w:rPr>
          <w:color w:val="auto"/>
        </w:rPr>
        <w:t>Indicative proportions of patients receiving each treatment at first line</w:t>
      </w:r>
    </w:p>
    <w:p w14:paraId="59433F36" w14:textId="77777777" w:rsidR="008C0097" w:rsidRPr="00B15F3D" w:rsidRDefault="00674864">
      <w:pPr>
        <w:pStyle w:val="TableCaption"/>
        <w:rPr>
          <w:b/>
          <w:bCs/>
        </w:rPr>
      </w:pPr>
      <w:bookmarkStart w:id="13" w:name="tbl-two-line"/>
      <w:r w:rsidRPr="00B15F3D">
        <w:rPr>
          <w:b/>
          <w:bCs/>
        </w:rPr>
        <w:t>Table 2: Counts and Proportions of First Line Treatments</w:t>
      </w:r>
    </w:p>
    <w:tbl>
      <w:tblPr>
        <w:tblStyle w:val="Table"/>
        <w:tblW w:w="0" w:type="auto"/>
        <w:tblLook w:val="0020" w:firstRow="1" w:lastRow="0" w:firstColumn="0" w:lastColumn="0" w:noHBand="0" w:noVBand="0"/>
        <w:tblCaption w:val="Table 2: Counts and Proportions of First Line Treatments"/>
      </w:tblPr>
      <w:tblGrid>
        <w:gridCol w:w="222"/>
      </w:tblGrid>
      <w:tr w:rsidR="00B15F3D" w:rsidRPr="00B15F3D" w14:paraId="4D10F8AC" w14:textId="77777777" w:rsidTr="000F0AEB">
        <w:trPr>
          <w:cnfStyle w:val="100000000000" w:firstRow="1" w:lastRow="0" w:firstColumn="0" w:lastColumn="0" w:oddVBand="0" w:evenVBand="0" w:oddHBand="0" w:evenHBand="0" w:firstRowFirstColumn="0" w:firstRowLastColumn="0" w:lastRowFirstColumn="0" w:lastRowLastColumn="0"/>
        </w:trPr>
        <w:tc>
          <w:tcPr>
            <w:tcW w:w="0" w:type="auto"/>
          </w:tcPr>
          <w:p w14:paraId="03DCEA30" w14:textId="77777777" w:rsidR="008C0097" w:rsidRPr="00B15F3D" w:rsidRDefault="008C0097">
            <w:pPr>
              <w:pStyle w:val="Compact"/>
            </w:pPr>
          </w:p>
        </w:tc>
      </w:tr>
      <w:bookmarkEnd w:id="13"/>
    </w:tbl>
    <w:tbl>
      <w:tblPr>
        <w:tblW w:w="0" w:type="auto"/>
        <w:jc w:val="center"/>
        <w:tblCellMar>
          <w:left w:w="60" w:type="dxa"/>
          <w:right w:w="60" w:type="dxa"/>
        </w:tblCellMar>
        <w:tblLook w:val="0000" w:firstRow="0" w:lastRow="0" w:firstColumn="0" w:lastColumn="0" w:noHBand="0" w:noVBand="0"/>
        <w:tblCaption w:val="Table 2: Counts and Proportions of First Line Treatments"/>
      </w:tblPr>
      <w:tblGrid>
        <w:gridCol w:w="2400"/>
        <w:gridCol w:w="987"/>
      </w:tblGrid>
      <w:tr w:rsidR="00B15F3D" w:rsidRPr="00B15F3D" w14:paraId="646CCE39" w14:textId="77777777">
        <w:trPr>
          <w:cantSplit/>
          <w:tblHeader/>
          <w:jc w:val="center"/>
        </w:trPr>
        <w:tc>
          <w:tcPr>
            <w:tcW w:w="0" w:type="auto"/>
            <w:tcBorders>
              <w:top w:val="single" w:sz="16" w:space="0" w:color="D3D3D3"/>
              <w:left w:val="single" w:sz="0" w:space="0" w:color="D3D3D3"/>
              <w:bottom w:val="single" w:sz="16" w:space="0" w:color="D3D3D3"/>
            </w:tcBorders>
          </w:tcPr>
          <w:p w14:paraId="1F20B208" w14:textId="77777777" w:rsidR="008C0097" w:rsidRPr="00B15F3D" w:rsidRDefault="008C0097">
            <w:pPr>
              <w:keepNext/>
              <w:spacing w:after="60"/>
            </w:pPr>
          </w:p>
        </w:tc>
        <w:tc>
          <w:tcPr>
            <w:tcW w:w="0" w:type="auto"/>
            <w:tcBorders>
              <w:top w:val="single" w:sz="16" w:space="0" w:color="D3D3D3"/>
              <w:bottom w:val="single" w:sz="16" w:space="0" w:color="D3D3D3"/>
              <w:right w:val="single" w:sz="0" w:space="0" w:color="D3D3D3"/>
            </w:tcBorders>
          </w:tcPr>
          <w:p w14:paraId="445AA4B0" w14:textId="77777777" w:rsidR="008C0097" w:rsidRPr="00B15F3D" w:rsidRDefault="00674864">
            <w:pPr>
              <w:keepNext/>
              <w:spacing w:after="60"/>
              <w:jc w:val="center"/>
            </w:pPr>
            <w:r w:rsidRPr="00B15F3D">
              <w:rPr>
                <w:rFonts w:ascii="Calibri" w:hAnsi="Calibri"/>
                <w:b/>
                <w:sz w:val="20"/>
              </w:rPr>
              <w:t>N = 2,334</w:t>
            </w:r>
            <w:r w:rsidRPr="00B15F3D">
              <w:rPr>
                <w:rFonts w:ascii="Calibri" w:hAnsi="Calibri"/>
                <w:i/>
                <w:sz w:val="20"/>
                <w:vertAlign w:val="superscript"/>
              </w:rPr>
              <w:t>1</w:t>
            </w:r>
          </w:p>
        </w:tc>
      </w:tr>
      <w:tr w:rsidR="00B15F3D" w:rsidRPr="00B15F3D" w14:paraId="4FDF99B4"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3D305C30" w14:textId="77777777" w:rsidR="008C0097" w:rsidRPr="00B15F3D" w:rsidRDefault="00674864">
            <w:pPr>
              <w:keepNext/>
              <w:spacing w:after="60"/>
            </w:pPr>
            <w:r w:rsidRPr="00B15F3D">
              <w:rPr>
                <w:rFonts w:ascii="Calibri" w:hAnsi="Calibri"/>
                <w:sz w:val="20"/>
              </w:rPr>
              <w:t>    Ipilimumab + Nivolumab</w:t>
            </w:r>
          </w:p>
        </w:tc>
        <w:tc>
          <w:tcPr>
            <w:tcW w:w="0" w:type="auto"/>
            <w:tcBorders>
              <w:top w:val="single" w:sz="0" w:space="0" w:color="D3D3D3"/>
              <w:left w:val="single" w:sz="0" w:space="0" w:color="D3D3D3"/>
              <w:bottom w:val="single" w:sz="0" w:space="0" w:color="D3D3D3"/>
              <w:right w:val="single" w:sz="0" w:space="0" w:color="D3D3D3"/>
            </w:tcBorders>
          </w:tcPr>
          <w:p w14:paraId="034D8478" w14:textId="77777777" w:rsidR="008C0097" w:rsidRPr="00B15F3D" w:rsidRDefault="00674864">
            <w:pPr>
              <w:keepNext/>
              <w:spacing w:after="60"/>
              <w:jc w:val="center"/>
            </w:pPr>
            <w:r w:rsidRPr="00B15F3D">
              <w:rPr>
                <w:rFonts w:ascii="Calibri" w:hAnsi="Calibri"/>
                <w:sz w:val="20"/>
              </w:rPr>
              <w:t>814 (35%)</w:t>
            </w:r>
          </w:p>
        </w:tc>
      </w:tr>
      <w:tr w:rsidR="00B15F3D" w:rsidRPr="00B15F3D" w14:paraId="43F6C9E7"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50186B61" w14:textId="77777777" w:rsidR="008C0097" w:rsidRPr="00B15F3D" w:rsidRDefault="00674864">
            <w:pPr>
              <w:keepNext/>
              <w:spacing w:after="60"/>
            </w:pPr>
            <w:r w:rsidRPr="00B15F3D">
              <w:rPr>
                <w:rFonts w:ascii="Calibri" w:hAnsi="Calibri"/>
                <w:sz w:val="20"/>
              </w:rPr>
              <w:t>    Pembrolizumab</w:t>
            </w:r>
          </w:p>
        </w:tc>
        <w:tc>
          <w:tcPr>
            <w:tcW w:w="0" w:type="auto"/>
            <w:tcBorders>
              <w:top w:val="single" w:sz="0" w:space="0" w:color="D3D3D3"/>
              <w:left w:val="single" w:sz="0" w:space="0" w:color="D3D3D3"/>
              <w:bottom w:val="single" w:sz="0" w:space="0" w:color="D3D3D3"/>
              <w:right w:val="single" w:sz="0" w:space="0" w:color="D3D3D3"/>
            </w:tcBorders>
          </w:tcPr>
          <w:p w14:paraId="53DC42AD" w14:textId="77777777" w:rsidR="008C0097" w:rsidRPr="00B15F3D" w:rsidRDefault="00674864">
            <w:pPr>
              <w:keepNext/>
              <w:spacing w:after="60"/>
              <w:jc w:val="center"/>
            </w:pPr>
            <w:r w:rsidRPr="00B15F3D">
              <w:rPr>
                <w:rFonts w:ascii="Calibri" w:hAnsi="Calibri"/>
                <w:sz w:val="20"/>
              </w:rPr>
              <w:t>656 (28%)</w:t>
            </w:r>
          </w:p>
        </w:tc>
      </w:tr>
      <w:tr w:rsidR="00B15F3D" w:rsidRPr="00B15F3D" w14:paraId="174307FB"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6DAC81B3" w14:textId="77777777" w:rsidR="008C0097" w:rsidRPr="00B15F3D" w:rsidRDefault="00674864">
            <w:pPr>
              <w:keepNext/>
              <w:spacing w:after="60"/>
            </w:pPr>
            <w:r w:rsidRPr="00B15F3D">
              <w:rPr>
                <w:rFonts w:ascii="Calibri" w:hAnsi="Calibri"/>
                <w:sz w:val="20"/>
              </w:rPr>
              <w:t>    Dabrafenib + Trametinib</w:t>
            </w:r>
          </w:p>
        </w:tc>
        <w:tc>
          <w:tcPr>
            <w:tcW w:w="0" w:type="auto"/>
            <w:tcBorders>
              <w:top w:val="single" w:sz="0" w:space="0" w:color="D3D3D3"/>
              <w:left w:val="single" w:sz="0" w:space="0" w:color="D3D3D3"/>
              <w:bottom w:val="single" w:sz="0" w:space="0" w:color="D3D3D3"/>
              <w:right w:val="single" w:sz="0" w:space="0" w:color="D3D3D3"/>
            </w:tcBorders>
          </w:tcPr>
          <w:p w14:paraId="0DF8A79E" w14:textId="77777777" w:rsidR="008C0097" w:rsidRPr="00B15F3D" w:rsidRDefault="00674864">
            <w:pPr>
              <w:keepNext/>
              <w:spacing w:after="60"/>
              <w:jc w:val="center"/>
            </w:pPr>
            <w:r w:rsidRPr="00B15F3D">
              <w:rPr>
                <w:rFonts w:ascii="Calibri" w:hAnsi="Calibri"/>
                <w:sz w:val="20"/>
              </w:rPr>
              <w:t>322 (14%)</w:t>
            </w:r>
          </w:p>
        </w:tc>
      </w:tr>
      <w:tr w:rsidR="00B15F3D" w:rsidRPr="00B15F3D" w14:paraId="49E32C6F"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195E8C7" w14:textId="77777777" w:rsidR="008C0097" w:rsidRPr="00B15F3D" w:rsidRDefault="00674864">
            <w:pPr>
              <w:keepNext/>
              <w:spacing w:after="60"/>
            </w:pPr>
            <w:r w:rsidRPr="00B15F3D">
              <w:rPr>
                <w:rFonts w:ascii="Calibri" w:hAnsi="Calibri"/>
                <w:sz w:val="20"/>
              </w:rPr>
              <w:t>    Nivolumab</w:t>
            </w:r>
          </w:p>
        </w:tc>
        <w:tc>
          <w:tcPr>
            <w:tcW w:w="0" w:type="auto"/>
            <w:tcBorders>
              <w:top w:val="single" w:sz="0" w:space="0" w:color="D3D3D3"/>
              <w:left w:val="single" w:sz="0" w:space="0" w:color="D3D3D3"/>
              <w:bottom w:val="single" w:sz="0" w:space="0" w:color="D3D3D3"/>
              <w:right w:val="single" w:sz="0" w:space="0" w:color="D3D3D3"/>
            </w:tcBorders>
          </w:tcPr>
          <w:p w14:paraId="6F0FBD6F" w14:textId="77777777" w:rsidR="008C0097" w:rsidRPr="00B15F3D" w:rsidRDefault="00674864">
            <w:pPr>
              <w:keepNext/>
              <w:spacing w:after="60"/>
              <w:jc w:val="center"/>
            </w:pPr>
            <w:r w:rsidRPr="00B15F3D">
              <w:rPr>
                <w:rFonts w:ascii="Calibri" w:hAnsi="Calibri"/>
                <w:sz w:val="20"/>
              </w:rPr>
              <w:t>199 (8.5%)</w:t>
            </w:r>
          </w:p>
        </w:tc>
      </w:tr>
      <w:tr w:rsidR="00B15F3D" w:rsidRPr="00B15F3D" w14:paraId="6C89DC40"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B2C6CED" w14:textId="77777777" w:rsidR="008C0097" w:rsidRPr="00B15F3D" w:rsidRDefault="00674864">
            <w:pPr>
              <w:keepNext/>
              <w:spacing w:after="60"/>
            </w:pPr>
            <w:r w:rsidRPr="00B15F3D">
              <w:rPr>
                <w:rFonts w:ascii="Calibri" w:hAnsi="Calibri"/>
                <w:sz w:val="20"/>
              </w:rPr>
              <w:t>    </w:t>
            </w:r>
            <w:proofErr w:type="spellStart"/>
            <w:r w:rsidRPr="00B15F3D">
              <w:rPr>
                <w:rFonts w:ascii="Calibri" w:hAnsi="Calibri"/>
                <w:sz w:val="20"/>
              </w:rPr>
              <w:t>Binimetinib</w:t>
            </w:r>
            <w:proofErr w:type="spellEnd"/>
            <w:r w:rsidRPr="00B15F3D">
              <w:rPr>
                <w:rFonts w:ascii="Calibri" w:hAnsi="Calibri"/>
                <w:sz w:val="20"/>
              </w:rPr>
              <w:t xml:space="preserve"> + </w:t>
            </w:r>
            <w:proofErr w:type="spellStart"/>
            <w:r w:rsidRPr="00B15F3D">
              <w:rPr>
                <w:rFonts w:ascii="Calibri" w:hAnsi="Calibri"/>
                <w:sz w:val="20"/>
              </w:rPr>
              <w:t>Encorafenib</w:t>
            </w:r>
            <w:proofErr w:type="spellEnd"/>
          </w:p>
        </w:tc>
        <w:tc>
          <w:tcPr>
            <w:tcW w:w="0" w:type="auto"/>
            <w:tcBorders>
              <w:top w:val="single" w:sz="0" w:space="0" w:color="D3D3D3"/>
              <w:left w:val="single" w:sz="0" w:space="0" w:color="D3D3D3"/>
              <w:bottom w:val="single" w:sz="0" w:space="0" w:color="D3D3D3"/>
              <w:right w:val="single" w:sz="0" w:space="0" w:color="D3D3D3"/>
            </w:tcBorders>
          </w:tcPr>
          <w:p w14:paraId="625B8854" w14:textId="77777777" w:rsidR="008C0097" w:rsidRPr="00B15F3D" w:rsidRDefault="00674864">
            <w:pPr>
              <w:keepNext/>
              <w:spacing w:after="60"/>
              <w:jc w:val="center"/>
            </w:pPr>
            <w:r w:rsidRPr="00B15F3D">
              <w:rPr>
                <w:rFonts w:ascii="Calibri" w:hAnsi="Calibri"/>
                <w:sz w:val="20"/>
              </w:rPr>
              <w:t>172 (7.4%)</w:t>
            </w:r>
          </w:p>
        </w:tc>
      </w:tr>
      <w:tr w:rsidR="00B15F3D" w:rsidRPr="00B15F3D" w14:paraId="686C97BC"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7FD36600" w14:textId="77777777" w:rsidR="008C0097" w:rsidRPr="00B15F3D" w:rsidRDefault="00674864">
            <w:pPr>
              <w:keepNext/>
              <w:spacing w:after="60"/>
            </w:pPr>
            <w:r w:rsidRPr="00B15F3D">
              <w:rPr>
                <w:rFonts w:ascii="Calibri" w:hAnsi="Calibri"/>
                <w:sz w:val="20"/>
              </w:rPr>
              <w:t>    Ipilimumab</w:t>
            </w:r>
          </w:p>
        </w:tc>
        <w:tc>
          <w:tcPr>
            <w:tcW w:w="0" w:type="auto"/>
            <w:tcBorders>
              <w:top w:val="single" w:sz="0" w:space="0" w:color="D3D3D3"/>
              <w:left w:val="single" w:sz="0" w:space="0" w:color="D3D3D3"/>
              <w:bottom w:val="single" w:sz="0" w:space="0" w:color="D3D3D3"/>
              <w:right w:val="single" w:sz="0" w:space="0" w:color="D3D3D3"/>
            </w:tcBorders>
          </w:tcPr>
          <w:p w14:paraId="6BFD1DC9" w14:textId="77777777" w:rsidR="008C0097" w:rsidRPr="00B15F3D" w:rsidRDefault="00674864">
            <w:pPr>
              <w:keepNext/>
              <w:spacing w:after="60"/>
              <w:jc w:val="center"/>
            </w:pPr>
            <w:r w:rsidRPr="00B15F3D">
              <w:rPr>
                <w:rFonts w:ascii="Calibri" w:hAnsi="Calibri"/>
                <w:sz w:val="20"/>
              </w:rPr>
              <w:t>84 (3.6%)</w:t>
            </w:r>
          </w:p>
        </w:tc>
      </w:tr>
      <w:tr w:rsidR="00B15F3D" w:rsidRPr="00B15F3D" w14:paraId="2F6589FF"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90600E8" w14:textId="77777777" w:rsidR="008C0097" w:rsidRPr="00B15F3D" w:rsidRDefault="00674864">
            <w:pPr>
              <w:keepNext/>
              <w:spacing w:after="60"/>
            </w:pPr>
            <w:r w:rsidRPr="00B15F3D">
              <w:rPr>
                <w:rFonts w:ascii="Calibri" w:hAnsi="Calibri"/>
                <w:sz w:val="20"/>
              </w:rPr>
              <w:t>    Other</w:t>
            </w:r>
          </w:p>
        </w:tc>
        <w:tc>
          <w:tcPr>
            <w:tcW w:w="0" w:type="auto"/>
            <w:tcBorders>
              <w:top w:val="single" w:sz="0" w:space="0" w:color="D3D3D3"/>
              <w:left w:val="single" w:sz="0" w:space="0" w:color="D3D3D3"/>
              <w:bottom w:val="single" w:sz="0" w:space="0" w:color="D3D3D3"/>
              <w:right w:val="single" w:sz="0" w:space="0" w:color="D3D3D3"/>
            </w:tcBorders>
          </w:tcPr>
          <w:p w14:paraId="665D968D" w14:textId="77777777" w:rsidR="008C0097" w:rsidRPr="00B15F3D" w:rsidRDefault="00674864">
            <w:pPr>
              <w:keepNext/>
              <w:spacing w:after="60"/>
              <w:jc w:val="center"/>
            </w:pPr>
            <w:r w:rsidRPr="00B15F3D">
              <w:rPr>
                <w:rFonts w:ascii="Calibri" w:hAnsi="Calibri"/>
                <w:sz w:val="20"/>
              </w:rPr>
              <w:t>41 (1.8%)</w:t>
            </w:r>
          </w:p>
        </w:tc>
      </w:tr>
      <w:tr w:rsidR="00B15F3D" w:rsidRPr="00B15F3D" w14:paraId="7B4BE6BC"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656BCF41" w14:textId="77777777" w:rsidR="008C0097" w:rsidRPr="00B15F3D" w:rsidRDefault="00674864">
            <w:pPr>
              <w:keepNext/>
              <w:spacing w:after="60"/>
            </w:pPr>
            <w:r w:rsidRPr="00B15F3D">
              <w:rPr>
                <w:rFonts w:ascii="Calibri" w:hAnsi="Calibri"/>
                <w:sz w:val="20"/>
              </w:rPr>
              <w:t xml:space="preserve">    Nivolumab + </w:t>
            </w:r>
            <w:proofErr w:type="spellStart"/>
            <w:r w:rsidRPr="00B15F3D">
              <w:rPr>
                <w:rFonts w:ascii="Calibri" w:hAnsi="Calibri"/>
                <w:sz w:val="20"/>
              </w:rPr>
              <w:t>Relatlimab</w:t>
            </w:r>
            <w:proofErr w:type="spellEnd"/>
          </w:p>
        </w:tc>
        <w:tc>
          <w:tcPr>
            <w:tcW w:w="0" w:type="auto"/>
            <w:tcBorders>
              <w:top w:val="single" w:sz="0" w:space="0" w:color="D3D3D3"/>
              <w:left w:val="single" w:sz="0" w:space="0" w:color="D3D3D3"/>
              <w:bottom w:val="single" w:sz="0" w:space="0" w:color="D3D3D3"/>
              <w:right w:val="single" w:sz="0" w:space="0" w:color="D3D3D3"/>
            </w:tcBorders>
          </w:tcPr>
          <w:p w14:paraId="73FAE5B9" w14:textId="77777777" w:rsidR="008C0097" w:rsidRPr="00B15F3D" w:rsidRDefault="00674864">
            <w:pPr>
              <w:keepNext/>
              <w:spacing w:after="60"/>
              <w:jc w:val="center"/>
            </w:pPr>
            <w:r w:rsidRPr="00B15F3D">
              <w:rPr>
                <w:rFonts w:ascii="Calibri" w:hAnsi="Calibri"/>
                <w:sz w:val="20"/>
              </w:rPr>
              <w:t>24 (1.0%)</w:t>
            </w:r>
          </w:p>
        </w:tc>
      </w:tr>
      <w:tr w:rsidR="00B15F3D" w:rsidRPr="00B15F3D" w14:paraId="694A315D"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9DFB64E" w14:textId="77777777" w:rsidR="008C0097" w:rsidRPr="00B15F3D" w:rsidRDefault="00674864">
            <w:pPr>
              <w:keepNext/>
              <w:spacing w:after="60"/>
            </w:pPr>
            <w:r w:rsidRPr="00B15F3D">
              <w:rPr>
                <w:rFonts w:ascii="Calibri" w:hAnsi="Calibri"/>
                <w:sz w:val="20"/>
              </w:rPr>
              <w:t>    Dabrafenib</w:t>
            </w:r>
          </w:p>
        </w:tc>
        <w:tc>
          <w:tcPr>
            <w:tcW w:w="0" w:type="auto"/>
            <w:tcBorders>
              <w:top w:val="single" w:sz="0" w:space="0" w:color="D3D3D3"/>
              <w:left w:val="single" w:sz="0" w:space="0" w:color="D3D3D3"/>
              <w:bottom w:val="single" w:sz="0" w:space="0" w:color="D3D3D3"/>
              <w:right w:val="single" w:sz="0" w:space="0" w:color="D3D3D3"/>
            </w:tcBorders>
          </w:tcPr>
          <w:p w14:paraId="0661997E" w14:textId="77777777" w:rsidR="008C0097" w:rsidRPr="00B15F3D" w:rsidRDefault="00674864">
            <w:pPr>
              <w:keepNext/>
              <w:spacing w:after="60"/>
              <w:jc w:val="center"/>
            </w:pPr>
            <w:r w:rsidRPr="00B15F3D">
              <w:rPr>
                <w:rFonts w:ascii="Calibri" w:hAnsi="Calibri"/>
                <w:sz w:val="20"/>
              </w:rPr>
              <w:t>22 (0.9%)</w:t>
            </w:r>
          </w:p>
        </w:tc>
      </w:tr>
      <w:tr w:rsidR="00B15F3D" w:rsidRPr="00B15F3D" w14:paraId="742244BC" w14:textId="77777777">
        <w:trPr>
          <w:cantSplit/>
          <w:jc w:val="center"/>
        </w:trPr>
        <w:tc>
          <w:tcPr>
            <w:tcW w:w="0" w:type="auto"/>
            <w:gridSpan w:val="2"/>
          </w:tcPr>
          <w:p w14:paraId="5E54BEA2" w14:textId="77777777" w:rsidR="008C0097" w:rsidRPr="00B15F3D" w:rsidRDefault="00674864">
            <w:pPr>
              <w:keepNext/>
              <w:spacing w:after="60"/>
            </w:pPr>
            <w:r w:rsidRPr="00B15F3D">
              <w:rPr>
                <w:rFonts w:ascii="Calibri" w:hAnsi="Calibri"/>
                <w:i/>
                <w:sz w:val="20"/>
                <w:vertAlign w:val="superscript"/>
              </w:rPr>
              <w:t>1</w:t>
            </w:r>
            <w:r w:rsidRPr="00B15F3D">
              <w:rPr>
                <w:rFonts w:ascii="Calibri" w:hAnsi="Calibri"/>
                <w:sz w:val="20"/>
              </w:rPr>
              <w:t>n (%)</w:t>
            </w:r>
          </w:p>
        </w:tc>
      </w:tr>
    </w:tbl>
    <w:p w14:paraId="61B3D21C" w14:textId="77777777" w:rsidR="008C0097" w:rsidRPr="000F0AEB" w:rsidRDefault="00674864">
      <w:pPr>
        <w:pStyle w:val="Heading3"/>
        <w:rPr>
          <w:color w:val="auto"/>
        </w:rPr>
      </w:pPr>
      <w:bookmarkStart w:id="14" w:name="X1e263ef8927355ad3461d2dc71e22d1fc03583b"/>
      <w:bookmarkEnd w:id="12"/>
      <w:r w:rsidRPr="000F0AEB">
        <w:rPr>
          <w:color w:val="auto"/>
        </w:rPr>
        <w:t>Indicative proportions of patients receiving each treatment at second line</w:t>
      </w:r>
    </w:p>
    <w:p w14:paraId="4A907914" w14:textId="77777777" w:rsidR="008C0097" w:rsidRPr="00B15F3D" w:rsidRDefault="00674864">
      <w:pPr>
        <w:pStyle w:val="TableCaption"/>
        <w:rPr>
          <w:b/>
          <w:bCs/>
        </w:rPr>
      </w:pPr>
      <w:bookmarkStart w:id="15" w:name="tbl-three-line"/>
      <w:r w:rsidRPr="00B15F3D">
        <w:rPr>
          <w:b/>
          <w:bCs/>
        </w:rPr>
        <w:t>Table 3: Counts and Proportions of Second Line Treatments</w:t>
      </w:r>
    </w:p>
    <w:tbl>
      <w:tblPr>
        <w:tblStyle w:val="Table"/>
        <w:tblW w:w="0" w:type="auto"/>
        <w:tblLook w:val="0020" w:firstRow="1" w:lastRow="0" w:firstColumn="0" w:lastColumn="0" w:noHBand="0" w:noVBand="0"/>
        <w:tblCaption w:val="Table 3: Counts and Proportions of Second Line Treatments"/>
      </w:tblPr>
      <w:tblGrid>
        <w:gridCol w:w="222"/>
      </w:tblGrid>
      <w:tr w:rsidR="00B15F3D" w:rsidRPr="00B15F3D" w14:paraId="449EE10F" w14:textId="77777777" w:rsidTr="000F0AEB">
        <w:trPr>
          <w:cnfStyle w:val="100000000000" w:firstRow="1" w:lastRow="0" w:firstColumn="0" w:lastColumn="0" w:oddVBand="0" w:evenVBand="0" w:oddHBand="0" w:evenHBand="0" w:firstRowFirstColumn="0" w:firstRowLastColumn="0" w:lastRowFirstColumn="0" w:lastRowLastColumn="0"/>
        </w:trPr>
        <w:tc>
          <w:tcPr>
            <w:tcW w:w="0" w:type="auto"/>
          </w:tcPr>
          <w:p w14:paraId="2381C63D" w14:textId="77777777" w:rsidR="008C0097" w:rsidRPr="00B15F3D" w:rsidRDefault="008C0097">
            <w:pPr>
              <w:pStyle w:val="Compact"/>
            </w:pPr>
          </w:p>
        </w:tc>
      </w:tr>
      <w:bookmarkEnd w:id="15"/>
    </w:tbl>
    <w:tbl>
      <w:tblPr>
        <w:tblW w:w="0" w:type="auto"/>
        <w:jc w:val="center"/>
        <w:tblCellMar>
          <w:left w:w="60" w:type="dxa"/>
          <w:right w:w="60" w:type="dxa"/>
        </w:tblCellMar>
        <w:tblLook w:val="0000" w:firstRow="0" w:lastRow="0" w:firstColumn="0" w:lastColumn="0" w:noHBand="0" w:noVBand="0"/>
        <w:tblCaption w:val="Table 3: Counts and Proportions of Second Line Treatments"/>
      </w:tblPr>
      <w:tblGrid>
        <w:gridCol w:w="2400"/>
        <w:gridCol w:w="937"/>
      </w:tblGrid>
      <w:tr w:rsidR="00B15F3D" w:rsidRPr="00B15F3D" w14:paraId="782219FE" w14:textId="77777777">
        <w:trPr>
          <w:cantSplit/>
          <w:tblHeader/>
          <w:jc w:val="center"/>
        </w:trPr>
        <w:tc>
          <w:tcPr>
            <w:tcW w:w="0" w:type="auto"/>
            <w:tcBorders>
              <w:top w:val="single" w:sz="16" w:space="0" w:color="D3D3D3"/>
              <w:left w:val="single" w:sz="0" w:space="0" w:color="D3D3D3"/>
              <w:bottom w:val="single" w:sz="16" w:space="0" w:color="D3D3D3"/>
            </w:tcBorders>
          </w:tcPr>
          <w:p w14:paraId="1E2CE08E" w14:textId="77777777" w:rsidR="008C0097" w:rsidRPr="00B15F3D" w:rsidRDefault="008C0097">
            <w:pPr>
              <w:keepNext/>
              <w:spacing w:after="60"/>
            </w:pPr>
          </w:p>
        </w:tc>
        <w:tc>
          <w:tcPr>
            <w:tcW w:w="0" w:type="auto"/>
            <w:tcBorders>
              <w:top w:val="single" w:sz="16" w:space="0" w:color="D3D3D3"/>
              <w:bottom w:val="single" w:sz="16" w:space="0" w:color="D3D3D3"/>
              <w:right w:val="single" w:sz="0" w:space="0" w:color="D3D3D3"/>
            </w:tcBorders>
          </w:tcPr>
          <w:p w14:paraId="3AAF74D6" w14:textId="77777777" w:rsidR="008C0097" w:rsidRPr="00B15F3D" w:rsidRDefault="00674864">
            <w:pPr>
              <w:keepNext/>
              <w:spacing w:after="60"/>
              <w:jc w:val="center"/>
            </w:pPr>
            <w:r w:rsidRPr="00B15F3D">
              <w:rPr>
                <w:rFonts w:ascii="Calibri" w:hAnsi="Calibri"/>
                <w:b/>
                <w:sz w:val="20"/>
              </w:rPr>
              <w:t>N = 652</w:t>
            </w:r>
            <w:r w:rsidRPr="00B15F3D">
              <w:rPr>
                <w:rFonts w:ascii="Calibri" w:hAnsi="Calibri"/>
                <w:i/>
                <w:sz w:val="20"/>
                <w:vertAlign w:val="superscript"/>
              </w:rPr>
              <w:t>1</w:t>
            </w:r>
          </w:p>
        </w:tc>
      </w:tr>
      <w:tr w:rsidR="00B15F3D" w:rsidRPr="00B15F3D" w14:paraId="69455D90"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4F4C26D3" w14:textId="77777777" w:rsidR="008C0097" w:rsidRPr="00B15F3D" w:rsidRDefault="00674864">
            <w:pPr>
              <w:keepNext/>
              <w:spacing w:after="60"/>
            </w:pPr>
            <w:r w:rsidRPr="00B15F3D">
              <w:rPr>
                <w:rFonts w:ascii="Calibri" w:hAnsi="Calibri"/>
                <w:sz w:val="20"/>
              </w:rPr>
              <w:t>    </w:t>
            </w:r>
            <w:proofErr w:type="spellStart"/>
            <w:r w:rsidRPr="00B15F3D">
              <w:rPr>
                <w:rFonts w:ascii="Calibri" w:hAnsi="Calibri"/>
                <w:sz w:val="20"/>
              </w:rPr>
              <w:t>Binimetinib</w:t>
            </w:r>
            <w:proofErr w:type="spellEnd"/>
            <w:r w:rsidRPr="00B15F3D">
              <w:rPr>
                <w:rFonts w:ascii="Calibri" w:hAnsi="Calibri"/>
                <w:sz w:val="20"/>
              </w:rPr>
              <w:t xml:space="preserve"> + </w:t>
            </w:r>
            <w:proofErr w:type="spellStart"/>
            <w:r w:rsidRPr="00B15F3D">
              <w:rPr>
                <w:rFonts w:ascii="Calibri" w:hAnsi="Calibri"/>
                <w:sz w:val="20"/>
              </w:rPr>
              <w:t>Encorafenib</w:t>
            </w:r>
            <w:proofErr w:type="spellEnd"/>
          </w:p>
        </w:tc>
        <w:tc>
          <w:tcPr>
            <w:tcW w:w="0" w:type="auto"/>
            <w:tcBorders>
              <w:top w:val="single" w:sz="0" w:space="0" w:color="D3D3D3"/>
              <w:left w:val="single" w:sz="0" w:space="0" w:color="D3D3D3"/>
              <w:bottom w:val="single" w:sz="0" w:space="0" w:color="D3D3D3"/>
              <w:right w:val="single" w:sz="0" w:space="0" w:color="D3D3D3"/>
            </w:tcBorders>
          </w:tcPr>
          <w:p w14:paraId="377A48BD" w14:textId="77777777" w:rsidR="008C0097" w:rsidRPr="00B15F3D" w:rsidRDefault="00674864">
            <w:pPr>
              <w:keepNext/>
              <w:spacing w:after="60"/>
              <w:jc w:val="center"/>
            </w:pPr>
            <w:r w:rsidRPr="00B15F3D">
              <w:rPr>
                <w:rFonts w:ascii="Calibri" w:hAnsi="Calibri"/>
                <w:sz w:val="20"/>
              </w:rPr>
              <w:t>148 (23%)</w:t>
            </w:r>
          </w:p>
        </w:tc>
      </w:tr>
      <w:tr w:rsidR="00B15F3D" w:rsidRPr="00B15F3D" w14:paraId="431DCAA3"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5235486" w14:textId="77777777" w:rsidR="008C0097" w:rsidRPr="00B15F3D" w:rsidRDefault="00674864">
            <w:pPr>
              <w:keepNext/>
              <w:spacing w:after="60"/>
            </w:pPr>
            <w:r w:rsidRPr="00B15F3D">
              <w:rPr>
                <w:rFonts w:ascii="Calibri" w:hAnsi="Calibri"/>
                <w:sz w:val="20"/>
              </w:rPr>
              <w:t>    Dabrafenib + Trametinib</w:t>
            </w:r>
          </w:p>
        </w:tc>
        <w:tc>
          <w:tcPr>
            <w:tcW w:w="0" w:type="auto"/>
            <w:tcBorders>
              <w:top w:val="single" w:sz="0" w:space="0" w:color="D3D3D3"/>
              <w:left w:val="single" w:sz="0" w:space="0" w:color="D3D3D3"/>
              <w:bottom w:val="single" w:sz="0" w:space="0" w:color="D3D3D3"/>
              <w:right w:val="single" w:sz="0" w:space="0" w:color="D3D3D3"/>
            </w:tcBorders>
          </w:tcPr>
          <w:p w14:paraId="576E7225" w14:textId="77777777" w:rsidR="008C0097" w:rsidRPr="00B15F3D" w:rsidRDefault="00674864">
            <w:pPr>
              <w:keepNext/>
              <w:spacing w:after="60"/>
              <w:jc w:val="center"/>
            </w:pPr>
            <w:r w:rsidRPr="00B15F3D">
              <w:rPr>
                <w:rFonts w:ascii="Calibri" w:hAnsi="Calibri"/>
                <w:sz w:val="20"/>
              </w:rPr>
              <w:t>133 (20%)</w:t>
            </w:r>
          </w:p>
        </w:tc>
      </w:tr>
      <w:tr w:rsidR="00B15F3D" w:rsidRPr="00B15F3D" w14:paraId="5B8F1B6F"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68F396D8" w14:textId="77777777" w:rsidR="008C0097" w:rsidRPr="00B15F3D" w:rsidRDefault="00674864">
            <w:pPr>
              <w:keepNext/>
              <w:spacing w:after="60"/>
            </w:pPr>
            <w:r w:rsidRPr="00B15F3D">
              <w:rPr>
                <w:rFonts w:ascii="Calibri" w:hAnsi="Calibri"/>
                <w:sz w:val="20"/>
              </w:rPr>
              <w:t>    Ipilimumab + Nivolumab</w:t>
            </w:r>
          </w:p>
        </w:tc>
        <w:tc>
          <w:tcPr>
            <w:tcW w:w="0" w:type="auto"/>
            <w:tcBorders>
              <w:top w:val="single" w:sz="0" w:space="0" w:color="D3D3D3"/>
              <w:left w:val="single" w:sz="0" w:space="0" w:color="D3D3D3"/>
              <w:bottom w:val="single" w:sz="0" w:space="0" w:color="D3D3D3"/>
              <w:right w:val="single" w:sz="0" w:space="0" w:color="D3D3D3"/>
            </w:tcBorders>
          </w:tcPr>
          <w:p w14:paraId="63EECF2F" w14:textId="77777777" w:rsidR="008C0097" w:rsidRPr="00B15F3D" w:rsidRDefault="00674864">
            <w:pPr>
              <w:keepNext/>
              <w:spacing w:after="60"/>
              <w:jc w:val="center"/>
            </w:pPr>
            <w:r w:rsidRPr="00B15F3D">
              <w:rPr>
                <w:rFonts w:ascii="Calibri" w:hAnsi="Calibri"/>
                <w:sz w:val="20"/>
              </w:rPr>
              <w:t>106 (16%)</w:t>
            </w:r>
          </w:p>
        </w:tc>
      </w:tr>
      <w:tr w:rsidR="00B15F3D" w:rsidRPr="00B15F3D" w14:paraId="33883CB4"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1C1C579B" w14:textId="77777777" w:rsidR="008C0097" w:rsidRPr="00B15F3D" w:rsidRDefault="00674864">
            <w:pPr>
              <w:keepNext/>
              <w:spacing w:after="60"/>
            </w:pPr>
            <w:r w:rsidRPr="00B15F3D">
              <w:rPr>
                <w:rFonts w:ascii="Calibri" w:hAnsi="Calibri"/>
                <w:sz w:val="20"/>
              </w:rPr>
              <w:t>    Pembrolizumab</w:t>
            </w:r>
          </w:p>
        </w:tc>
        <w:tc>
          <w:tcPr>
            <w:tcW w:w="0" w:type="auto"/>
            <w:tcBorders>
              <w:top w:val="single" w:sz="0" w:space="0" w:color="D3D3D3"/>
              <w:left w:val="single" w:sz="0" w:space="0" w:color="D3D3D3"/>
              <w:bottom w:val="single" w:sz="0" w:space="0" w:color="D3D3D3"/>
              <w:right w:val="single" w:sz="0" w:space="0" w:color="D3D3D3"/>
            </w:tcBorders>
          </w:tcPr>
          <w:p w14:paraId="06598677" w14:textId="77777777" w:rsidR="008C0097" w:rsidRPr="00B15F3D" w:rsidRDefault="00674864">
            <w:pPr>
              <w:keepNext/>
              <w:spacing w:after="60"/>
              <w:jc w:val="center"/>
            </w:pPr>
            <w:r w:rsidRPr="00B15F3D">
              <w:rPr>
                <w:rFonts w:ascii="Calibri" w:hAnsi="Calibri"/>
                <w:sz w:val="20"/>
              </w:rPr>
              <w:t>56 (8.6%)</w:t>
            </w:r>
          </w:p>
        </w:tc>
      </w:tr>
      <w:tr w:rsidR="00B15F3D" w:rsidRPr="00B15F3D" w14:paraId="5D9BC55B"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C8D8515" w14:textId="77777777" w:rsidR="008C0097" w:rsidRPr="00B15F3D" w:rsidRDefault="00674864">
            <w:pPr>
              <w:keepNext/>
              <w:spacing w:after="60"/>
            </w:pPr>
            <w:r w:rsidRPr="00B15F3D">
              <w:rPr>
                <w:rFonts w:ascii="Calibri" w:hAnsi="Calibri"/>
                <w:sz w:val="20"/>
              </w:rPr>
              <w:t>    Ipilimumab</w:t>
            </w:r>
          </w:p>
        </w:tc>
        <w:tc>
          <w:tcPr>
            <w:tcW w:w="0" w:type="auto"/>
            <w:tcBorders>
              <w:top w:val="single" w:sz="0" w:space="0" w:color="D3D3D3"/>
              <w:left w:val="single" w:sz="0" w:space="0" w:color="D3D3D3"/>
              <w:bottom w:val="single" w:sz="0" w:space="0" w:color="D3D3D3"/>
              <w:right w:val="single" w:sz="0" w:space="0" w:color="D3D3D3"/>
            </w:tcBorders>
          </w:tcPr>
          <w:p w14:paraId="2C37393E" w14:textId="77777777" w:rsidR="008C0097" w:rsidRPr="00B15F3D" w:rsidRDefault="00674864">
            <w:pPr>
              <w:keepNext/>
              <w:spacing w:after="60"/>
              <w:jc w:val="center"/>
            </w:pPr>
            <w:r w:rsidRPr="00B15F3D">
              <w:rPr>
                <w:rFonts w:ascii="Calibri" w:hAnsi="Calibri"/>
                <w:sz w:val="20"/>
              </w:rPr>
              <w:t>52 (8.0%)</w:t>
            </w:r>
          </w:p>
        </w:tc>
      </w:tr>
      <w:tr w:rsidR="00B15F3D" w:rsidRPr="00B15F3D" w14:paraId="7F187C46"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3BEF18FD" w14:textId="77777777" w:rsidR="008C0097" w:rsidRPr="00B15F3D" w:rsidRDefault="00674864">
            <w:pPr>
              <w:keepNext/>
              <w:spacing w:after="60"/>
            </w:pPr>
            <w:r w:rsidRPr="00B15F3D">
              <w:rPr>
                <w:rFonts w:ascii="Calibri" w:hAnsi="Calibri"/>
                <w:sz w:val="20"/>
              </w:rPr>
              <w:t>    Nivolumab</w:t>
            </w:r>
          </w:p>
        </w:tc>
        <w:tc>
          <w:tcPr>
            <w:tcW w:w="0" w:type="auto"/>
            <w:tcBorders>
              <w:top w:val="single" w:sz="0" w:space="0" w:color="D3D3D3"/>
              <w:left w:val="single" w:sz="0" w:space="0" w:color="D3D3D3"/>
              <w:bottom w:val="single" w:sz="0" w:space="0" w:color="D3D3D3"/>
              <w:right w:val="single" w:sz="0" w:space="0" w:color="D3D3D3"/>
            </w:tcBorders>
          </w:tcPr>
          <w:p w14:paraId="5E9E6F16" w14:textId="77777777" w:rsidR="008C0097" w:rsidRPr="00B15F3D" w:rsidRDefault="00674864">
            <w:pPr>
              <w:keepNext/>
              <w:spacing w:after="60"/>
              <w:jc w:val="center"/>
            </w:pPr>
            <w:r w:rsidRPr="00B15F3D">
              <w:rPr>
                <w:rFonts w:ascii="Calibri" w:hAnsi="Calibri"/>
                <w:sz w:val="20"/>
              </w:rPr>
              <w:t>52 (8.0%)</w:t>
            </w:r>
          </w:p>
        </w:tc>
      </w:tr>
      <w:tr w:rsidR="00B15F3D" w:rsidRPr="00B15F3D" w14:paraId="1B536917"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69648F19" w14:textId="77777777" w:rsidR="008C0097" w:rsidRPr="00B15F3D" w:rsidRDefault="00674864">
            <w:pPr>
              <w:keepNext/>
              <w:spacing w:after="60"/>
            </w:pPr>
            <w:r w:rsidRPr="00B15F3D">
              <w:rPr>
                <w:rFonts w:ascii="Calibri" w:hAnsi="Calibri"/>
                <w:sz w:val="20"/>
              </w:rPr>
              <w:t>    Dabrafenib</w:t>
            </w:r>
          </w:p>
        </w:tc>
        <w:tc>
          <w:tcPr>
            <w:tcW w:w="0" w:type="auto"/>
            <w:tcBorders>
              <w:top w:val="single" w:sz="0" w:space="0" w:color="D3D3D3"/>
              <w:left w:val="single" w:sz="0" w:space="0" w:color="D3D3D3"/>
              <w:bottom w:val="single" w:sz="0" w:space="0" w:color="D3D3D3"/>
              <w:right w:val="single" w:sz="0" w:space="0" w:color="D3D3D3"/>
            </w:tcBorders>
          </w:tcPr>
          <w:p w14:paraId="51D2B415" w14:textId="77777777" w:rsidR="008C0097" w:rsidRPr="00B15F3D" w:rsidRDefault="00674864">
            <w:pPr>
              <w:keepNext/>
              <w:spacing w:after="60"/>
              <w:jc w:val="center"/>
            </w:pPr>
            <w:r w:rsidRPr="00B15F3D">
              <w:rPr>
                <w:rFonts w:ascii="Calibri" w:hAnsi="Calibri"/>
                <w:sz w:val="20"/>
              </w:rPr>
              <w:t>37 (5.7%)</w:t>
            </w:r>
          </w:p>
        </w:tc>
      </w:tr>
      <w:tr w:rsidR="00B15F3D" w:rsidRPr="00B15F3D" w14:paraId="17C76C27"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69F35A90" w14:textId="77777777" w:rsidR="008C0097" w:rsidRPr="00B15F3D" w:rsidRDefault="00674864">
            <w:pPr>
              <w:keepNext/>
              <w:spacing w:after="60"/>
            </w:pPr>
            <w:r w:rsidRPr="00B15F3D">
              <w:rPr>
                <w:rFonts w:ascii="Calibri" w:hAnsi="Calibri"/>
                <w:sz w:val="20"/>
              </w:rPr>
              <w:t>    Other</w:t>
            </w:r>
          </w:p>
        </w:tc>
        <w:tc>
          <w:tcPr>
            <w:tcW w:w="0" w:type="auto"/>
            <w:tcBorders>
              <w:top w:val="single" w:sz="0" w:space="0" w:color="D3D3D3"/>
              <w:left w:val="single" w:sz="0" w:space="0" w:color="D3D3D3"/>
              <w:bottom w:val="single" w:sz="0" w:space="0" w:color="D3D3D3"/>
              <w:right w:val="single" w:sz="0" w:space="0" w:color="D3D3D3"/>
            </w:tcBorders>
          </w:tcPr>
          <w:p w14:paraId="37E643E5" w14:textId="77777777" w:rsidR="008C0097" w:rsidRPr="00B15F3D" w:rsidRDefault="00674864">
            <w:pPr>
              <w:keepNext/>
              <w:spacing w:after="60"/>
              <w:jc w:val="center"/>
            </w:pPr>
            <w:r w:rsidRPr="00B15F3D">
              <w:rPr>
                <w:rFonts w:ascii="Calibri" w:hAnsi="Calibri"/>
                <w:sz w:val="20"/>
              </w:rPr>
              <w:t>32 (4.9%)</w:t>
            </w:r>
          </w:p>
        </w:tc>
      </w:tr>
      <w:tr w:rsidR="00B15F3D" w:rsidRPr="00B15F3D" w14:paraId="74358A8C"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588CE457" w14:textId="77777777" w:rsidR="008C0097" w:rsidRPr="00B15F3D" w:rsidRDefault="00674864">
            <w:pPr>
              <w:keepNext/>
              <w:spacing w:after="60"/>
            </w:pPr>
            <w:r w:rsidRPr="00B15F3D">
              <w:rPr>
                <w:rFonts w:ascii="Calibri" w:hAnsi="Calibri"/>
                <w:sz w:val="20"/>
              </w:rPr>
              <w:t>    Dacarbazine</w:t>
            </w:r>
          </w:p>
        </w:tc>
        <w:tc>
          <w:tcPr>
            <w:tcW w:w="0" w:type="auto"/>
            <w:tcBorders>
              <w:top w:val="single" w:sz="0" w:space="0" w:color="D3D3D3"/>
              <w:left w:val="single" w:sz="0" w:space="0" w:color="D3D3D3"/>
              <w:bottom w:val="single" w:sz="0" w:space="0" w:color="D3D3D3"/>
              <w:right w:val="single" w:sz="0" w:space="0" w:color="D3D3D3"/>
            </w:tcBorders>
          </w:tcPr>
          <w:p w14:paraId="3020C515" w14:textId="77777777" w:rsidR="008C0097" w:rsidRPr="00B15F3D" w:rsidRDefault="00674864">
            <w:pPr>
              <w:keepNext/>
              <w:spacing w:after="60"/>
              <w:jc w:val="center"/>
            </w:pPr>
            <w:r w:rsidRPr="00B15F3D">
              <w:rPr>
                <w:rFonts w:ascii="Calibri" w:hAnsi="Calibri"/>
                <w:sz w:val="20"/>
              </w:rPr>
              <w:t>23 (3.5%)</w:t>
            </w:r>
          </w:p>
        </w:tc>
      </w:tr>
      <w:tr w:rsidR="00B15F3D" w:rsidRPr="00B15F3D" w14:paraId="2274EDCC"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4511077B" w14:textId="77777777" w:rsidR="008C0097" w:rsidRPr="00B15F3D" w:rsidRDefault="00674864">
            <w:pPr>
              <w:keepNext/>
              <w:spacing w:after="60"/>
            </w:pPr>
            <w:r w:rsidRPr="00B15F3D">
              <w:rPr>
                <w:rFonts w:ascii="Calibri" w:hAnsi="Calibri"/>
                <w:sz w:val="20"/>
              </w:rPr>
              <w:t>    Carboplatin + Paclitaxel</w:t>
            </w:r>
          </w:p>
        </w:tc>
        <w:tc>
          <w:tcPr>
            <w:tcW w:w="0" w:type="auto"/>
            <w:tcBorders>
              <w:top w:val="single" w:sz="0" w:space="0" w:color="D3D3D3"/>
              <w:left w:val="single" w:sz="0" w:space="0" w:color="D3D3D3"/>
              <w:bottom w:val="single" w:sz="0" w:space="0" w:color="D3D3D3"/>
              <w:right w:val="single" w:sz="0" w:space="0" w:color="D3D3D3"/>
            </w:tcBorders>
          </w:tcPr>
          <w:p w14:paraId="3958E5CE" w14:textId="77777777" w:rsidR="008C0097" w:rsidRPr="00B15F3D" w:rsidRDefault="00674864">
            <w:pPr>
              <w:keepNext/>
              <w:spacing w:after="60"/>
              <w:jc w:val="center"/>
            </w:pPr>
            <w:r w:rsidRPr="00B15F3D">
              <w:rPr>
                <w:rFonts w:ascii="Calibri" w:hAnsi="Calibri"/>
                <w:sz w:val="20"/>
              </w:rPr>
              <w:t>13 (2.0%)</w:t>
            </w:r>
          </w:p>
        </w:tc>
      </w:tr>
      <w:tr w:rsidR="00B15F3D" w:rsidRPr="00B15F3D" w14:paraId="1E587EB2" w14:textId="77777777">
        <w:trPr>
          <w:cantSplit/>
          <w:jc w:val="center"/>
        </w:trPr>
        <w:tc>
          <w:tcPr>
            <w:tcW w:w="0" w:type="auto"/>
            <w:gridSpan w:val="2"/>
          </w:tcPr>
          <w:p w14:paraId="7AD37C67" w14:textId="77777777" w:rsidR="008C0097" w:rsidRPr="00B15F3D" w:rsidRDefault="00674864">
            <w:pPr>
              <w:keepNext/>
              <w:spacing w:after="60"/>
            </w:pPr>
            <w:r w:rsidRPr="00B15F3D">
              <w:rPr>
                <w:rFonts w:ascii="Calibri" w:hAnsi="Calibri"/>
                <w:i/>
                <w:sz w:val="20"/>
                <w:vertAlign w:val="superscript"/>
              </w:rPr>
              <w:t>1</w:t>
            </w:r>
            <w:r w:rsidRPr="00B15F3D">
              <w:rPr>
                <w:rFonts w:ascii="Calibri" w:hAnsi="Calibri"/>
                <w:sz w:val="20"/>
              </w:rPr>
              <w:t>n (%)</w:t>
            </w:r>
          </w:p>
        </w:tc>
      </w:tr>
    </w:tbl>
    <w:p w14:paraId="44012F22" w14:textId="77777777" w:rsidR="008C0097" w:rsidRPr="000F0AEB" w:rsidRDefault="00674864">
      <w:pPr>
        <w:pStyle w:val="Heading3"/>
        <w:rPr>
          <w:color w:val="auto"/>
        </w:rPr>
      </w:pPr>
      <w:bookmarkStart w:id="16" w:name="braf-mutation-status"/>
      <w:bookmarkEnd w:id="14"/>
      <w:r w:rsidRPr="000F0AEB">
        <w:rPr>
          <w:color w:val="auto"/>
        </w:rPr>
        <w:t>BRAF mutation status</w:t>
      </w:r>
    </w:p>
    <w:p w14:paraId="7C79F53A" w14:textId="05C8ACA8" w:rsidR="008C0097" w:rsidRPr="00B15F3D" w:rsidRDefault="00674864">
      <w:pPr>
        <w:pStyle w:val="FirstParagraph"/>
      </w:pPr>
      <w:r w:rsidRPr="00B15F3D">
        <w:t>This table splits out the first line treatment regimen descriptions according to BRAF mutation status. BRAF mutation status is based on any test recorded between June 2016 and December 2021 inclusive, regardless of diagnosis year.</w:t>
      </w:r>
      <w:r w:rsidR="11DA8BE6" w:rsidRPr="00B15F3D">
        <w:t xml:space="preserve"> </w:t>
      </w:r>
      <w:r w:rsidRPr="00B15F3D">
        <w:t xml:space="preserve"> </w:t>
      </w:r>
      <w:r w:rsidR="0C32DCE7" w:rsidRPr="00B15F3D">
        <w:t>T</w:t>
      </w:r>
      <w:r w:rsidRPr="00B15F3D">
        <w:t xml:space="preserve">here are some gaps in data </w:t>
      </w:r>
      <w:r w:rsidR="1CC0011E" w:rsidRPr="00B15F3D">
        <w:t xml:space="preserve">collection for BRAF </w:t>
      </w:r>
      <w:r w:rsidRPr="00B15F3D">
        <w:t xml:space="preserve">during the collection </w:t>
      </w:r>
      <w:proofErr w:type="gramStart"/>
      <w:r w:rsidRPr="00B15F3D">
        <w:t>period .</w:t>
      </w:r>
      <w:proofErr w:type="gramEnd"/>
      <w:r w:rsidRPr="00B15F3D">
        <w:t xml:space="preserve"> For example, see the table on </w:t>
      </w:r>
      <w:hyperlink r:id="rId13">
        <w:r w:rsidR="008C0097" w:rsidRPr="000F0AEB">
          <w:rPr>
            <w:rStyle w:val="Hyperlink"/>
            <w:color w:val="auto"/>
          </w:rPr>
          <w:t>Somatic Molecular Data for completeness of our most recent data year</w:t>
        </w:r>
      </w:hyperlink>
      <w:r w:rsidRPr="00B15F3D">
        <w:t xml:space="preserve"> (2021). We were unable to identify a recorded BRAF status test for most patients in the cohort.</w:t>
      </w:r>
    </w:p>
    <w:p w14:paraId="6DC1B604" w14:textId="77777777" w:rsidR="008C0097" w:rsidRPr="00B15F3D" w:rsidRDefault="00674864">
      <w:pPr>
        <w:pStyle w:val="TableCaption"/>
        <w:rPr>
          <w:b/>
          <w:bCs/>
        </w:rPr>
      </w:pPr>
      <w:bookmarkStart w:id="17" w:name="tbl-four-line"/>
      <w:r w:rsidRPr="00B15F3D">
        <w:rPr>
          <w:b/>
          <w:bCs/>
        </w:rPr>
        <w:lastRenderedPageBreak/>
        <w:t>Table 4: Counts and Proportions of First Line Treatments by BRAF Status</w:t>
      </w:r>
    </w:p>
    <w:tbl>
      <w:tblPr>
        <w:tblStyle w:val="Table"/>
        <w:tblW w:w="0" w:type="auto"/>
        <w:tblLook w:val="0020" w:firstRow="1" w:lastRow="0" w:firstColumn="0" w:lastColumn="0" w:noHBand="0" w:noVBand="0"/>
        <w:tblCaption w:val="Table 4: Counts and Proportions of First Line Treatments by BRAF Status"/>
      </w:tblPr>
      <w:tblGrid>
        <w:gridCol w:w="222"/>
      </w:tblGrid>
      <w:tr w:rsidR="00B15F3D" w:rsidRPr="00B15F3D" w14:paraId="6D84C250" w14:textId="77777777" w:rsidTr="000F0AEB">
        <w:trPr>
          <w:cnfStyle w:val="100000000000" w:firstRow="1" w:lastRow="0" w:firstColumn="0" w:lastColumn="0" w:oddVBand="0" w:evenVBand="0" w:oddHBand="0" w:evenHBand="0" w:firstRowFirstColumn="0" w:firstRowLastColumn="0" w:lastRowFirstColumn="0" w:lastRowLastColumn="0"/>
        </w:trPr>
        <w:tc>
          <w:tcPr>
            <w:tcW w:w="0" w:type="auto"/>
          </w:tcPr>
          <w:p w14:paraId="3B70B2B6" w14:textId="77777777" w:rsidR="008C0097" w:rsidRPr="00B15F3D" w:rsidRDefault="008C0097">
            <w:pPr>
              <w:pStyle w:val="Compact"/>
            </w:pPr>
          </w:p>
        </w:tc>
      </w:tr>
      <w:bookmarkEnd w:id="17"/>
    </w:tbl>
    <w:tbl>
      <w:tblPr>
        <w:tblW w:w="0" w:type="auto"/>
        <w:jc w:val="center"/>
        <w:tblCellMar>
          <w:left w:w="60" w:type="dxa"/>
          <w:right w:w="60" w:type="dxa"/>
        </w:tblCellMar>
        <w:tblLook w:val="0000" w:firstRow="0" w:lastRow="0" w:firstColumn="0" w:lastColumn="0" w:noHBand="0" w:noVBand="0"/>
        <w:tblCaption w:val="Table 4: Counts and Proportions of First Line Treatments by BRAF Status"/>
      </w:tblPr>
      <w:tblGrid>
        <w:gridCol w:w="2400"/>
        <w:gridCol w:w="1994"/>
        <w:gridCol w:w="2078"/>
        <w:gridCol w:w="2412"/>
      </w:tblGrid>
      <w:tr w:rsidR="00B15F3D" w:rsidRPr="00B15F3D" w14:paraId="6662305D" w14:textId="77777777" w:rsidTr="000F0AEB">
        <w:trPr>
          <w:cantSplit/>
          <w:tblHeader/>
          <w:jc w:val="center"/>
        </w:trPr>
        <w:tc>
          <w:tcPr>
            <w:tcW w:w="0" w:type="auto"/>
            <w:tcBorders>
              <w:top w:val="single" w:sz="16" w:space="0" w:color="D3D3D3"/>
              <w:left w:val="single" w:sz="0" w:space="0" w:color="D3D3D3"/>
              <w:bottom w:val="single" w:sz="16" w:space="0" w:color="D3D3D3"/>
              <w:right w:val="single" w:sz="4" w:space="0" w:color="auto"/>
            </w:tcBorders>
          </w:tcPr>
          <w:p w14:paraId="191F5ADF" w14:textId="77777777" w:rsidR="008C0097" w:rsidRPr="00B15F3D" w:rsidRDefault="008C0097">
            <w:pPr>
              <w:keepNext/>
              <w:spacing w:after="60"/>
            </w:pPr>
          </w:p>
        </w:tc>
        <w:tc>
          <w:tcPr>
            <w:tcW w:w="0" w:type="auto"/>
            <w:tcBorders>
              <w:top w:val="single" w:sz="4" w:space="0" w:color="auto"/>
              <w:left w:val="single" w:sz="4" w:space="0" w:color="auto"/>
              <w:bottom w:val="single" w:sz="4" w:space="0" w:color="auto"/>
              <w:right w:val="single" w:sz="4" w:space="0" w:color="auto"/>
            </w:tcBorders>
          </w:tcPr>
          <w:p w14:paraId="62EDCE63" w14:textId="77777777" w:rsidR="008C0097" w:rsidRPr="00B15F3D" w:rsidRDefault="00674864">
            <w:pPr>
              <w:keepNext/>
              <w:spacing w:after="60"/>
              <w:jc w:val="center"/>
            </w:pPr>
            <w:r w:rsidRPr="00B15F3D">
              <w:rPr>
                <w:rFonts w:ascii="Calibri" w:hAnsi="Calibri"/>
                <w:b/>
                <w:sz w:val="20"/>
              </w:rPr>
              <w:t>BRAF Positive</w:t>
            </w:r>
            <w:r w:rsidRPr="00B15F3D">
              <w:rPr>
                <w:rFonts w:ascii="Calibri" w:hAnsi="Calibri"/>
                <w:sz w:val="20"/>
              </w:rPr>
              <w:t xml:space="preserve"> N = 496</w:t>
            </w:r>
            <w:r w:rsidRPr="00B15F3D">
              <w:rPr>
                <w:rFonts w:ascii="Calibri" w:hAnsi="Calibri"/>
                <w:i/>
                <w:sz w:val="20"/>
                <w:vertAlign w:val="superscript"/>
              </w:rPr>
              <w:t>1</w:t>
            </w:r>
          </w:p>
        </w:tc>
        <w:tc>
          <w:tcPr>
            <w:tcW w:w="0" w:type="auto"/>
            <w:tcBorders>
              <w:top w:val="single" w:sz="4" w:space="0" w:color="auto"/>
              <w:left w:val="single" w:sz="4" w:space="0" w:color="auto"/>
              <w:bottom w:val="single" w:sz="4" w:space="0" w:color="auto"/>
              <w:right w:val="single" w:sz="4" w:space="0" w:color="auto"/>
            </w:tcBorders>
          </w:tcPr>
          <w:p w14:paraId="5813A0B4" w14:textId="77777777" w:rsidR="008C0097" w:rsidRPr="00B15F3D" w:rsidRDefault="00674864">
            <w:pPr>
              <w:keepNext/>
              <w:spacing w:after="60"/>
              <w:jc w:val="center"/>
            </w:pPr>
            <w:r w:rsidRPr="00B15F3D">
              <w:rPr>
                <w:rFonts w:ascii="Calibri" w:hAnsi="Calibri"/>
                <w:b/>
                <w:sz w:val="20"/>
              </w:rPr>
              <w:t>BRAF Negative</w:t>
            </w:r>
            <w:r w:rsidRPr="00B15F3D">
              <w:rPr>
                <w:rFonts w:ascii="Calibri" w:hAnsi="Calibri"/>
                <w:sz w:val="20"/>
              </w:rPr>
              <w:t xml:space="preserve"> N = 552</w:t>
            </w:r>
            <w:r w:rsidRPr="00B15F3D">
              <w:rPr>
                <w:rFonts w:ascii="Calibri" w:hAnsi="Calibri"/>
                <w:i/>
                <w:sz w:val="20"/>
                <w:vertAlign w:val="superscript"/>
              </w:rPr>
              <w:t>1</w:t>
            </w:r>
          </w:p>
        </w:tc>
        <w:tc>
          <w:tcPr>
            <w:tcW w:w="0" w:type="auto"/>
            <w:tcBorders>
              <w:top w:val="single" w:sz="4" w:space="0" w:color="auto"/>
              <w:left w:val="single" w:sz="4" w:space="0" w:color="auto"/>
              <w:bottom w:val="single" w:sz="4" w:space="0" w:color="auto"/>
              <w:right w:val="single" w:sz="4" w:space="0" w:color="auto"/>
            </w:tcBorders>
          </w:tcPr>
          <w:p w14:paraId="0408F315" w14:textId="77777777" w:rsidR="008C0097" w:rsidRPr="00B15F3D" w:rsidRDefault="00674864">
            <w:pPr>
              <w:keepNext/>
              <w:spacing w:after="60"/>
              <w:jc w:val="center"/>
            </w:pPr>
            <w:r w:rsidRPr="00B15F3D">
              <w:rPr>
                <w:rFonts w:ascii="Calibri" w:hAnsi="Calibri"/>
                <w:b/>
                <w:sz w:val="20"/>
              </w:rPr>
              <w:t>No record of test</w:t>
            </w:r>
            <w:r w:rsidRPr="00B15F3D">
              <w:rPr>
                <w:rFonts w:ascii="Calibri" w:hAnsi="Calibri"/>
                <w:sz w:val="20"/>
              </w:rPr>
              <w:t xml:space="preserve"> N = 1,286</w:t>
            </w:r>
            <w:r w:rsidRPr="00B15F3D">
              <w:rPr>
                <w:rFonts w:ascii="Calibri" w:hAnsi="Calibri"/>
                <w:i/>
                <w:sz w:val="20"/>
                <w:vertAlign w:val="superscript"/>
              </w:rPr>
              <w:t>1</w:t>
            </w:r>
          </w:p>
        </w:tc>
      </w:tr>
      <w:tr w:rsidR="00B15F3D" w:rsidRPr="00B15F3D" w14:paraId="41D038B3" w14:textId="77777777" w:rsidTr="000F0AEB">
        <w:trPr>
          <w:cantSplit/>
          <w:jc w:val="center"/>
        </w:trPr>
        <w:tc>
          <w:tcPr>
            <w:tcW w:w="0" w:type="auto"/>
            <w:tcBorders>
              <w:top w:val="single" w:sz="4" w:space="0" w:color="auto"/>
              <w:left w:val="single" w:sz="0" w:space="0" w:color="D3D3D3"/>
              <w:bottom w:val="single" w:sz="0" w:space="0" w:color="D3D3D3"/>
              <w:right w:val="single" w:sz="0" w:space="0" w:color="D3D3D3"/>
            </w:tcBorders>
          </w:tcPr>
          <w:p w14:paraId="5FE6416A" w14:textId="77777777" w:rsidR="008C0097" w:rsidRPr="00B15F3D" w:rsidRDefault="00674864">
            <w:pPr>
              <w:keepNext/>
              <w:spacing w:after="60"/>
            </w:pPr>
            <w:r w:rsidRPr="00B15F3D">
              <w:rPr>
                <w:rFonts w:ascii="Calibri" w:hAnsi="Calibri"/>
                <w:sz w:val="20"/>
              </w:rPr>
              <w:t>    Ipilimumab + Nivolumab</w:t>
            </w:r>
          </w:p>
        </w:tc>
        <w:tc>
          <w:tcPr>
            <w:tcW w:w="0" w:type="auto"/>
            <w:tcBorders>
              <w:top w:val="single" w:sz="4" w:space="0" w:color="auto"/>
              <w:left w:val="single" w:sz="0" w:space="0" w:color="D3D3D3"/>
              <w:bottom w:val="single" w:sz="0" w:space="0" w:color="D3D3D3"/>
              <w:right w:val="single" w:sz="0" w:space="0" w:color="D3D3D3"/>
            </w:tcBorders>
          </w:tcPr>
          <w:p w14:paraId="1F687359" w14:textId="77777777" w:rsidR="008C0097" w:rsidRPr="00B15F3D" w:rsidRDefault="00674864">
            <w:pPr>
              <w:keepNext/>
              <w:spacing w:after="60"/>
              <w:jc w:val="center"/>
            </w:pPr>
            <w:r w:rsidRPr="00B15F3D">
              <w:rPr>
                <w:rFonts w:ascii="Calibri" w:hAnsi="Calibri"/>
                <w:sz w:val="20"/>
              </w:rPr>
              <w:t>127 (26%)</w:t>
            </w:r>
          </w:p>
        </w:tc>
        <w:tc>
          <w:tcPr>
            <w:tcW w:w="0" w:type="auto"/>
            <w:tcBorders>
              <w:top w:val="single" w:sz="4" w:space="0" w:color="auto"/>
              <w:left w:val="single" w:sz="0" w:space="0" w:color="D3D3D3"/>
              <w:bottom w:val="single" w:sz="0" w:space="0" w:color="D3D3D3"/>
              <w:right w:val="single" w:sz="0" w:space="0" w:color="D3D3D3"/>
            </w:tcBorders>
          </w:tcPr>
          <w:p w14:paraId="051DF022" w14:textId="77777777" w:rsidR="008C0097" w:rsidRPr="00B15F3D" w:rsidRDefault="00674864">
            <w:pPr>
              <w:keepNext/>
              <w:spacing w:after="60"/>
              <w:jc w:val="center"/>
            </w:pPr>
            <w:r w:rsidRPr="00B15F3D">
              <w:rPr>
                <w:rFonts w:ascii="Calibri" w:hAnsi="Calibri"/>
                <w:sz w:val="20"/>
              </w:rPr>
              <w:t>198 (36%)</w:t>
            </w:r>
          </w:p>
        </w:tc>
        <w:tc>
          <w:tcPr>
            <w:tcW w:w="0" w:type="auto"/>
            <w:tcBorders>
              <w:top w:val="single" w:sz="4" w:space="0" w:color="auto"/>
              <w:left w:val="single" w:sz="0" w:space="0" w:color="D3D3D3"/>
              <w:bottom w:val="single" w:sz="0" w:space="0" w:color="D3D3D3"/>
              <w:right w:val="single" w:sz="0" w:space="0" w:color="D3D3D3"/>
            </w:tcBorders>
          </w:tcPr>
          <w:p w14:paraId="6891F0D0" w14:textId="77777777" w:rsidR="008C0097" w:rsidRPr="00B15F3D" w:rsidRDefault="00674864">
            <w:pPr>
              <w:keepNext/>
              <w:spacing w:after="60"/>
              <w:jc w:val="center"/>
            </w:pPr>
            <w:r w:rsidRPr="00B15F3D">
              <w:rPr>
                <w:rFonts w:ascii="Calibri" w:hAnsi="Calibri"/>
                <w:sz w:val="20"/>
              </w:rPr>
              <w:t>489 (38%)</w:t>
            </w:r>
          </w:p>
        </w:tc>
      </w:tr>
      <w:tr w:rsidR="00B15F3D" w:rsidRPr="00B15F3D" w14:paraId="0530F323"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6C1BFC66" w14:textId="77777777" w:rsidR="008C0097" w:rsidRPr="00B15F3D" w:rsidRDefault="00674864">
            <w:pPr>
              <w:keepNext/>
              <w:spacing w:after="60"/>
            </w:pPr>
            <w:r w:rsidRPr="00B15F3D">
              <w:rPr>
                <w:rFonts w:ascii="Calibri" w:hAnsi="Calibri"/>
                <w:sz w:val="20"/>
              </w:rPr>
              <w:t>    Pembrolizumab</w:t>
            </w:r>
          </w:p>
        </w:tc>
        <w:tc>
          <w:tcPr>
            <w:tcW w:w="0" w:type="auto"/>
            <w:tcBorders>
              <w:top w:val="single" w:sz="0" w:space="0" w:color="D3D3D3"/>
              <w:left w:val="single" w:sz="0" w:space="0" w:color="D3D3D3"/>
              <w:bottom w:val="single" w:sz="0" w:space="0" w:color="D3D3D3"/>
              <w:right w:val="single" w:sz="0" w:space="0" w:color="D3D3D3"/>
            </w:tcBorders>
          </w:tcPr>
          <w:p w14:paraId="08AEB8F0" w14:textId="77777777" w:rsidR="008C0097" w:rsidRPr="00B15F3D" w:rsidRDefault="00674864">
            <w:pPr>
              <w:keepNext/>
              <w:spacing w:after="60"/>
              <w:jc w:val="center"/>
            </w:pPr>
            <w:r w:rsidRPr="00B15F3D">
              <w:rPr>
                <w:rFonts w:ascii="Calibri" w:hAnsi="Calibri"/>
                <w:sz w:val="20"/>
              </w:rPr>
              <w:t>95 (19%)</w:t>
            </w:r>
          </w:p>
        </w:tc>
        <w:tc>
          <w:tcPr>
            <w:tcW w:w="0" w:type="auto"/>
            <w:tcBorders>
              <w:top w:val="single" w:sz="0" w:space="0" w:color="D3D3D3"/>
              <w:left w:val="single" w:sz="0" w:space="0" w:color="D3D3D3"/>
              <w:bottom w:val="single" w:sz="0" w:space="0" w:color="D3D3D3"/>
              <w:right w:val="single" w:sz="0" w:space="0" w:color="D3D3D3"/>
            </w:tcBorders>
          </w:tcPr>
          <w:p w14:paraId="31F9879C" w14:textId="77777777" w:rsidR="008C0097" w:rsidRPr="00B15F3D" w:rsidRDefault="00674864">
            <w:pPr>
              <w:keepNext/>
              <w:spacing w:after="60"/>
              <w:jc w:val="center"/>
            </w:pPr>
            <w:r w:rsidRPr="00B15F3D">
              <w:rPr>
                <w:rFonts w:ascii="Calibri" w:hAnsi="Calibri"/>
                <w:sz w:val="20"/>
              </w:rPr>
              <w:t>230 (42%)</w:t>
            </w:r>
          </w:p>
        </w:tc>
        <w:tc>
          <w:tcPr>
            <w:tcW w:w="0" w:type="auto"/>
            <w:tcBorders>
              <w:top w:val="single" w:sz="0" w:space="0" w:color="D3D3D3"/>
              <w:left w:val="single" w:sz="0" w:space="0" w:color="D3D3D3"/>
              <w:bottom w:val="single" w:sz="0" w:space="0" w:color="D3D3D3"/>
              <w:right w:val="single" w:sz="0" w:space="0" w:color="D3D3D3"/>
            </w:tcBorders>
          </w:tcPr>
          <w:p w14:paraId="4CD43CE5" w14:textId="77777777" w:rsidR="008C0097" w:rsidRPr="00B15F3D" w:rsidRDefault="00674864">
            <w:pPr>
              <w:keepNext/>
              <w:spacing w:after="60"/>
              <w:jc w:val="center"/>
            </w:pPr>
            <w:r w:rsidRPr="00B15F3D">
              <w:rPr>
                <w:rFonts w:ascii="Calibri" w:hAnsi="Calibri"/>
                <w:sz w:val="20"/>
              </w:rPr>
              <w:t>331 (26%)</w:t>
            </w:r>
          </w:p>
        </w:tc>
      </w:tr>
      <w:tr w:rsidR="00B15F3D" w:rsidRPr="00B15F3D" w14:paraId="5BC4F047"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41EC464E" w14:textId="77777777" w:rsidR="008C0097" w:rsidRPr="00B15F3D" w:rsidRDefault="00674864">
            <w:pPr>
              <w:keepNext/>
              <w:spacing w:after="60"/>
            </w:pPr>
            <w:r w:rsidRPr="00B15F3D">
              <w:rPr>
                <w:rFonts w:ascii="Calibri" w:hAnsi="Calibri"/>
                <w:sz w:val="20"/>
              </w:rPr>
              <w:t>    Dabrafenib + Trametinib</w:t>
            </w:r>
          </w:p>
        </w:tc>
        <w:tc>
          <w:tcPr>
            <w:tcW w:w="0" w:type="auto"/>
            <w:tcBorders>
              <w:top w:val="single" w:sz="0" w:space="0" w:color="D3D3D3"/>
              <w:left w:val="single" w:sz="0" w:space="0" w:color="D3D3D3"/>
              <w:bottom w:val="single" w:sz="0" w:space="0" w:color="D3D3D3"/>
              <w:right w:val="single" w:sz="0" w:space="0" w:color="D3D3D3"/>
            </w:tcBorders>
          </w:tcPr>
          <w:p w14:paraId="2051E7D8" w14:textId="77777777" w:rsidR="008C0097" w:rsidRPr="00B15F3D" w:rsidRDefault="00674864">
            <w:pPr>
              <w:keepNext/>
              <w:spacing w:after="60"/>
              <w:jc w:val="center"/>
            </w:pPr>
            <w:r w:rsidRPr="00B15F3D">
              <w:rPr>
                <w:rFonts w:ascii="Calibri" w:hAnsi="Calibri"/>
                <w:sz w:val="20"/>
              </w:rPr>
              <w:t>157 (32%)</w:t>
            </w:r>
          </w:p>
        </w:tc>
        <w:tc>
          <w:tcPr>
            <w:tcW w:w="0" w:type="auto"/>
            <w:tcBorders>
              <w:top w:val="single" w:sz="0" w:space="0" w:color="D3D3D3"/>
              <w:left w:val="single" w:sz="0" w:space="0" w:color="D3D3D3"/>
              <w:bottom w:val="single" w:sz="0" w:space="0" w:color="D3D3D3"/>
              <w:right w:val="single" w:sz="0" w:space="0" w:color="D3D3D3"/>
            </w:tcBorders>
          </w:tcPr>
          <w:p w14:paraId="01380437" w14:textId="77777777" w:rsidR="008C0097" w:rsidRPr="00B15F3D" w:rsidRDefault="00674864">
            <w:pPr>
              <w:keepNext/>
              <w:spacing w:after="60"/>
              <w:jc w:val="center"/>
            </w:pPr>
            <w:r w:rsidRPr="00B15F3D">
              <w:rPr>
                <w:rFonts w:ascii="Calibri" w:hAnsi="Calibri"/>
                <w:sz w:val="20"/>
              </w:rPr>
              <w:t>2 (0%)</w:t>
            </w:r>
          </w:p>
        </w:tc>
        <w:tc>
          <w:tcPr>
            <w:tcW w:w="0" w:type="auto"/>
            <w:tcBorders>
              <w:top w:val="single" w:sz="0" w:space="0" w:color="D3D3D3"/>
              <w:left w:val="single" w:sz="0" w:space="0" w:color="D3D3D3"/>
              <w:bottom w:val="single" w:sz="0" w:space="0" w:color="D3D3D3"/>
              <w:right w:val="single" w:sz="0" w:space="0" w:color="D3D3D3"/>
            </w:tcBorders>
          </w:tcPr>
          <w:p w14:paraId="5D06750A" w14:textId="77777777" w:rsidR="008C0097" w:rsidRPr="00B15F3D" w:rsidRDefault="00674864">
            <w:pPr>
              <w:keepNext/>
              <w:spacing w:after="60"/>
              <w:jc w:val="center"/>
            </w:pPr>
            <w:r w:rsidRPr="00B15F3D">
              <w:rPr>
                <w:rFonts w:ascii="Calibri" w:hAnsi="Calibri"/>
                <w:sz w:val="20"/>
              </w:rPr>
              <w:t>163 (13%)</w:t>
            </w:r>
          </w:p>
        </w:tc>
      </w:tr>
      <w:tr w:rsidR="00B15F3D" w:rsidRPr="00B15F3D" w14:paraId="5CA7D841"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D42AB76" w14:textId="77777777" w:rsidR="008C0097" w:rsidRPr="00B15F3D" w:rsidRDefault="00674864">
            <w:pPr>
              <w:keepNext/>
              <w:spacing w:after="60"/>
            </w:pPr>
            <w:r w:rsidRPr="00B15F3D">
              <w:rPr>
                <w:rFonts w:ascii="Calibri" w:hAnsi="Calibri"/>
                <w:sz w:val="20"/>
              </w:rPr>
              <w:t>    Nivolumab</w:t>
            </w:r>
          </w:p>
        </w:tc>
        <w:tc>
          <w:tcPr>
            <w:tcW w:w="0" w:type="auto"/>
            <w:tcBorders>
              <w:top w:val="single" w:sz="0" w:space="0" w:color="D3D3D3"/>
              <w:left w:val="single" w:sz="0" w:space="0" w:color="D3D3D3"/>
              <w:bottom w:val="single" w:sz="0" w:space="0" w:color="D3D3D3"/>
              <w:right w:val="single" w:sz="0" w:space="0" w:color="D3D3D3"/>
            </w:tcBorders>
          </w:tcPr>
          <w:p w14:paraId="71B89545" w14:textId="77777777" w:rsidR="008C0097" w:rsidRPr="00B15F3D" w:rsidRDefault="00674864">
            <w:pPr>
              <w:keepNext/>
              <w:spacing w:after="60"/>
              <w:jc w:val="center"/>
            </w:pPr>
            <w:r w:rsidRPr="00B15F3D">
              <w:rPr>
                <w:rFonts w:ascii="Calibri" w:hAnsi="Calibri"/>
                <w:sz w:val="20"/>
              </w:rPr>
              <w:t>28 (6%)</w:t>
            </w:r>
          </w:p>
        </w:tc>
        <w:tc>
          <w:tcPr>
            <w:tcW w:w="0" w:type="auto"/>
            <w:tcBorders>
              <w:top w:val="single" w:sz="0" w:space="0" w:color="D3D3D3"/>
              <w:left w:val="single" w:sz="0" w:space="0" w:color="D3D3D3"/>
              <w:bottom w:val="single" w:sz="0" w:space="0" w:color="D3D3D3"/>
              <w:right w:val="single" w:sz="0" w:space="0" w:color="D3D3D3"/>
            </w:tcBorders>
          </w:tcPr>
          <w:p w14:paraId="51437C3D" w14:textId="77777777" w:rsidR="008C0097" w:rsidRPr="00B15F3D" w:rsidRDefault="00674864">
            <w:pPr>
              <w:keepNext/>
              <w:spacing w:after="60"/>
              <w:jc w:val="center"/>
            </w:pPr>
            <w:r w:rsidRPr="00B15F3D">
              <w:rPr>
                <w:rFonts w:ascii="Calibri" w:hAnsi="Calibri"/>
                <w:sz w:val="20"/>
              </w:rPr>
              <w:t>59 (11%)</w:t>
            </w:r>
          </w:p>
        </w:tc>
        <w:tc>
          <w:tcPr>
            <w:tcW w:w="0" w:type="auto"/>
            <w:tcBorders>
              <w:top w:val="single" w:sz="0" w:space="0" w:color="D3D3D3"/>
              <w:left w:val="single" w:sz="0" w:space="0" w:color="D3D3D3"/>
              <w:bottom w:val="single" w:sz="0" w:space="0" w:color="D3D3D3"/>
              <w:right w:val="single" w:sz="0" w:space="0" w:color="D3D3D3"/>
            </w:tcBorders>
          </w:tcPr>
          <w:p w14:paraId="250219E3" w14:textId="77777777" w:rsidR="008C0097" w:rsidRPr="00B15F3D" w:rsidRDefault="00674864">
            <w:pPr>
              <w:keepNext/>
              <w:spacing w:after="60"/>
              <w:jc w:val="center"/>
            </w:pPr>
            <w:r w:rsidRPr="00B15F3D">
              <w:rPr>
                <w:rFonts w:ascii="Calibri" w:hAnsi="Calibri"/>
                <w:sz w:val="20"/>
              </w:rPr>
              <w:t>112 (9%)</w:t>
            </w:r>
          </w:p>
        </w:tc>
      </w:tr>
      <w:tr w:rsidR="00B15F3D" w:rsidRPr="00B15F3D" w14:paraId="105522FE"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E2017B2" w14:textId="77777777" w:rsidR="008C0097" w:rsidRPr="00B15F3D" w:rsidRDefault="00674864">
            <w:pPr>
              <w:keepNext/>
              <w:spacing w:after="60"/>
            </w:pPr>
            <w:r w:rsidRPr="00B15F3D">
              <w:rPr>
                <w:rFonts w:ascii="Calibri" w:hAnsi="Calibri"/>
                <w:sz w:val="20"/>
              </w:rPr>
              <w:t>    </w:t>
            </w:r>
            <w:proofErr w:type="spellStart"/>
            <w:r w:rsidRPr="00B15F3D">
              <w:rPr>
                <w:rFonts w:ascii="Calibri" w:hAnsi="Calibri"/>
                <w:sz w:val="20"/>
              </w:rPr>
              <w:t>Binimetinib</w:t>
            </w:r>
            <w:proofErr w:type="spellEnd"/>
            <w:r w:rsidRPr="00B15F3D">
              <w:rPr>
                <w:rFonts w:ascii="Calibri" w:hAnsi="Calibri"/>
                <w:sz w:val="20"/>
              </w:rPr>
              <w:t xml:space="preserve"> + </w:t>
            </w:r>
            <w:proofErr w:type="spellStart"/>
            <w:r w:rsidRPr="00B15F3D">
              <w:rPr>
                <w:rFonts w:ascii="Calibri" w:hAnsi="Calibri"/>
                <w:sz w:val="20"/>
              </w:rPr>
              <w:t>Encorafenib</w:t>
            </w:r>
            <w:proofErr w:type="spellEnd"/>
          </w:p>
        </w:tc>
        <w:tc>
          <w:tcPr>
            <w:tcW w:w="0" w:type="auto"/>
            <w:tcBorders>
              <w:top w:val="single" w:sz="0" w:space="0" w:color="D3D3D3"/>
              <w:left w:val="single" w:sz="0" w:space="0" w:color="D3D3D3"/>
              <w:bottom w:val="single" w:sz="0" w:space="0" w:color="D3D3D3"/>
              <w:right w:val="single" w:sz="0" w:space="0" w:color="D3D3D3"/>
            </w:tcBorders>
          </w:tcPr>
          <w:p w14:paraId="2039D897" w14:textId="77777777" w:rsidR="008C0097" w:rsidRPr="00B15F3D" w:rsidRDefault="00674864">
            <w:pPr>
              <w:keepNext/>
              <w:spacing w:after="60"/>
              <w:jc w:val="center"/>
            </w:pPr>
            <w:r w:rsidRPr="00B15F3D">
              <w:rPr>
                <w:rFonts w:ascii="Calibri" w:hAnsi="Calibri"/>
                <w:sz w:val="20"/>
              </w:rPr>
              <w:t>56 (11%)</w:t>
            </w:r>
          </w:p>
        </w:tc>
        <w:tc>
          <w:tcPr>
            <w:tcW w:w="0" w:type="auto"/>
            <w:tcBorders>
              <w:top w:val="single" w:sz="0" w:space="0" w:color="D3D3D3"/>
              <w:left w:val="single" w:sz="0" w:space="0" w:color="D3D3D3"/>
              <w:bottom w:val="single" w:sz="0" w:space="0" w:color="D3D3D3"/>
              <w:right w:val="single" w:sz="0" w:space="0" w:color="D3D3D3"/>
            </w:tcBorders>
          </w:tcPr>
          <w:p w14:paraId="6636D2EC" w14:textId="77777777" w:rsidR="008C0097" w:rsidRPr="00B15F3D" w:rsidRDefault="00674864">
            <w:pPr>
              <w:keepNext/>
              <w:spacing w:after="60"/>
              <w:jc w:val="center"/>
            </w:pPr>
            <w:r w:rsidRPr="00B15F3D">
              <w:rPr>
                <w:rFonts w:ascii="Calibri" w:hAnsi="Calibri"/>
                <w:sz w:val="20"/>
              </w:rPr>
              <w:t>0 (0%)</w:t>
            </w:r>
          </w:p>
        </w:tc>
        <w:tc>
          <w:tcPr>
            <w:tcW w:w="0" w:type="auto"/>
            <w:tcBorders>
              <w:top w:val="single" w:sz="0" w:space="0" w:color="D3D3D3"/>
              <w:left w:val="single" w:sz="0" w:space="0" w:color="D3D3D3"/>
              <w:bottom w:val="single" w:sz="0" w:space="0" w:color="D3D3D3"/>
              <w:right w:val="single" w:sz="0" w:space="0" w:color="D3D3D3"/>
            </w:tcBorders>
          </w:tcPr>
          <w:p w14:paraId="60469F2B" w14:textId="77777777" w:rsidR="008C0097" w:rsidRPr="00B15F3D" w:rsidRDefault="00674864">
            <w:pPr>
              <w:keepNext/>
              <w:spacing w:after="60"/>
              <w:jc w:val="center"/>
            </w:pPr>
            <w:r w:rsidRPr="00B15F3D">
              <w:rPr>
                <w:rFonts w:ascii="Calibri" w:hAnsi="Calibri"/>
                <w:sz w:val="20"/>
              </w:rPr>
              <w:t>116 (9%)</w:t>
            </w:r>
          </w:p>
        </w:tc>
      </w:tr>
      <w:tr w:rsidR="00B15F3D" w:rsidRPr="00B15F3D" w14:paraId="3A609C9D"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D2C331B" w14:textId="77777777" w:rsidR="008C0097" w:rsidRPr="00B15F3D" w:rsidRDefault="00674864">
            <w:pPr>
              <w:keepNext/>
              <w:spacing w:after="60"/>
            </w:pPr>
            <w:r w:rsidRPr="00B15F3D">
              <w:rPr>
                <w:rFonts w:ascii="Calibri" w:hAnsi="Calibri"/>
                <w:sz w:val="20"/>
              </w:rPr>
              <w:t>    Ipilimumab</w:t>
            </w:r>
          </w:p>
        </w:tc>
        <w:tc>
          <w:tcPr>
            <w:tcW w:w="0" w:type="auto"/>
            <w:tcBorders>
              <w:top w:val="single" w:sz="0" w:space="0" w:color="D3D3D3"/>
              <w:left w:val="single" w:sz="0" w:space="0" w:color="D3D3D3"/>
              <w:bottom w:val="single" w:sz="0" w:space="0" w:color="D3D3D3"/>
              <w:right w:val="single" w:sz="0" w:space="0" w:color="D3D3D3"/>
            </w:tcBorders>
          </w:tcPr>
          <w:p w14:paraId="13B15B91" w14:textId="77777777" w:rsidR="008C0097" w:rsidRPr="00B15F3D" w:rsidRDefault="00674864">
            <w:pPr>
              <w:keepNext/>
              <w:spacing w:after="60"/>
              <w:jc w:val="center"/>
            </w:pPr>
            <w:r w:rsidRPr="00B15F3D">
              <w:rPr>
                <w:rFonts w:ascii="Calibri" w:hAnsi="Calibri"/>
                <w:sz w:val="20"/>
              </w:rPr>
              <w:t>12 (2%)</w:t>
            </w:r>
          </w:p>
        </w:tc>
        <w:tc>
          <w:tcPr>
            <w:tcW w:w="0" w:type="auto"/>
            <w:tcBorders>
              <w:top w:val="single" w:sz="0" w:space="0" w:color="D3D3D3"/>
              <w:left w:val="single" w:sz="0" w:space="0" w:color="D3D3D3"/>
              <w:bottom w:val="single" w:sz="0" w:space="0" w:color="D3D3D3"/>
              <w:right w:val="single" w:sz="0" w:space="0" w:color="D3D3D3"/>
            </w:tcBorders>
          </w:tcPr>
          <w:p w14:paraId="16128B77" w14:textId="77777777" w:rsidR="008C0097" w:rsidRPr="00B15F3D" w:rsidRDefault="00674864">
            <w:pPr>
              <w:keepNext/>
              <w:spacing w:after="60"/>
              <w:jc w:val="center"/>
            </w:pPr>
            <w:r w:rsidRPr="00B15F3D">
              <w:rPr>
                <w:rFonts w:ascii="Calibri" w:hAnsi="Calibri"/>
                <w:sz w:val="20"/>
              </w:rPr>
              <w:t>45 (8%)</w:t>
            </w:r>
          </w:p>
        </w:tc>
        <w:tc>
          <w:tcPr>
            <w:tcW w:w="0" w:type="auto"/>
            <w:tcBorders>
              <w:top w:val="single" w:sz="0" w:space="0" w:color="D3D3D3"/>
              <w:left w:val="single" w:sz="0" w:space="0" w:color="D3D3D3"/>
              <w:bottom w:val="single" w:sz="0" w:space="0" w:color="D3D3D3"/>
              <w:right w:val="single" w:sz="0" w:space="0" w:color="D3D3D3"/>
            </w:tcBorders>
          </w:tcPr>
          <w:p w14:paraId="607D1A23" w14:textId="77777777" w:rsidR="008C0097" w:rsidRPr="00B15F3D" w:rsidRDefault="00674864">
            <w:pPr>
              <w:keepNext/>
              <w:spacing w:after="60"/>
              <w:jc w:val="center"/>
            </w:pPr>
            <w:r w:rsidRPr="00B15F3D">
              <w:rPr>
                <w:rFonts w:ascii="Calibri" w:hAnsi="Calibri"/>
                <w:sz w:val="20"/>
              </w:rPr>
              <w:t>27 (2%)</w:t>
            </w:r>
          </w:p>
        </w:tc>
      </w:tr>
      <w:tr w:rsidR="00B15F3D" w:rsidRPr="00B15F3D" w14:paraId="31457EEB"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764FC18" w14:textId="77777777" w:rsidR="008C0097" w:rsidRPr="00B15F3D" w:rsidRDefault="00674864">
            <w:pPr>
              <w:keepNext/>
              <w:spacing w:after="60"/>
            </w:pPr>
            <w:r w:rsidRPr="00B15F3D">
              <w:rPr>
                <w:rFonts w:ascii="Calibri" w:hAnsi="Calibri"/>
                <w:sz w:val="20"/>
              </w:rPr>
              <w:t>    Other</w:t>
            </w:r>
          </w:p>
        </w:tc>
        <w:tc>
          <w:tcPr>
            <w:tcW w:w="0" w:type="auto"/>
            <w:tcBorders>
              <w:top w:val="single" w:sz="0" w:space="0" w:color="D3D3D3"/>
              <w:left w:val="single" w:sz="0" w:space="0" w:color="D3D3D3"/>
              <w:bottom w:val="single" w:sz="0" w:space="0" w:color="D3D3D3"/>
              <w:right w:val="single" w:sz="0" w:space="0" w:color="D3D3D3"/>
            </w:tcBorders>
          </w:tcPr>
          <w:p w14:paraId="6827DC04" w14:textId="77777777" w:rsidR="008C0097" w:rsidRPr="00B15F3D" w:rsidRDefault="00674864">
            <w:pPr>
              <w:keepNext/>
              <w:spacing w:after="60"/>
              <w:jc w:val="center"/>
            </w:pPr>
            <w:r w:rsidRPr="00B15F3D">
              <w:rPr>
                <w:rFonts w:ascii="Calibri" w:hAnsi="Calibri"/>
                <w:sz w:val="20"/>
              </w:rPr>
              <w:t>7 (1%)</w:t>
            </w:r>
          </w:p>
        </w:tc>
        <w:tc>
          <w:tcPr>
            <w:tcW w:w="0" w:type="auto"/>
            <w:tcBorders>
              <w:top w:val="single" w:sz="0" w:space="0" w:color="D3D3D3"/>
              <w:left w:val="single" w:sz="0" w:space="0" w:color="D3D3D3"/>
              <w:bottom w:val="single" w:sz="0" w:space="0" w:color="D3D3D3"/>
              <w:right w:val="single" w:sz="0" w:space="0" w:color="D3D3D3"/>
            </w:tcBorders>
          </w:tcPr>
          <w:p w14:paraId="5C30613D" w14:textId="77777777" w:rsidR="008C0097" w:rsidRPr="00B15F3D" w:rsidRDefault="00674864">
            <w:pPr>
              <w:keepNext/>
              <w:spacing w:after="60"/>
              <w:jc w:val="center"/>
            </w:pPr>
            <w:r w:rsidRPr="00B15F3D">
              <w:rPr>
                <w:rFonts w:ascii="Calibri" w:hAnsi="Calibri"/>
                <w:sz w:val="20"/>
              </w:rPr>
              <w:t>14 (3%)</w:t>
            </w:r>
          </w:p>
        </w:tc>
        <w:tc>
          <w:tcPr>
            <w:tcW w:w="0" w:type="auto"/>
            <w:tcBorders>
              <w:top w:val="single" w:sz="0" w:space="0" w:color="D3D3D3"/>
              <w:left w:val="single" w:sz="0" w:space="0" w:color="D3D3D3"/>
              <w:bottom w:val="single" w:sz="0" w:space="0" w:color="D3D3D3"/>
              <w:right w:val="single" w:sz="0" w:space="0" w:color="D3D3D3"/>
            </w:tcBorders>
          </w:tcPr>
          <w:p w14:paraId="470F4E8E" w14:textId="77777777" w:rsidR="008C0097" w:rsidRPr="00B15F3D" w:rsidRDefault="00674864">
            <w:pPr>
              <w:keepNext/>
              <w:spacing w:after="60"/>
              <w:jc w:val="center"/>
            </w:pPr>
            <w:r w:rsidRPr="00B15F3D">
              <w:rPr>
                <w:rFonts w:ascii="Calibri" w:hAnsi="Calibri"/>
                <w:sz w:val="20"/>
              </w:rPr>
              <w:t>20 (2%)</w:t>
            </w:r>
          </w:p>
        </w:tc>
      </w:tr>
      <w:tr w:rsidR="00B15F3D" w:rsidRPr="00B15F3D" w14:paraId="1F67B390"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5222D556" w14:textId="77777777" w:rsidR="008C0097" w:rsidRPr="00B15F3D" w:rsidRDefault="00674864">
            <w:pPr>
              <w:keepNext/>
              <w:spacing w:after="60"/>
            </w:pPr>
            <w:r w:rsidRPr="00B15F3D">
              <w:rPr>
                <w:rFonts w:ascii="Calibri" w:hAnsi="Calibri"/>
                <w:sz w:val="20"/>
              </w:rPr>
              <w:t xml:space="preserve">    Nivolumab + </w:t>
            </w:r>
            <w:proofErr w:type="spellStart"/>
            <w:r w:rsidRPr="00B15F3D">
              <w:rPr>
                <w:rFonts w:ascii="Calibri" w:hAnsi="Calibri"/>
                <w:sz w:val="20"/>
              </w:rPr>
              <w:t>Relatlimab</w:t>
            </w:r>
            <w:proofErr w:type="spellEnd"/>
          </w:p>
        </w:tc>
        <w:tc>
          <w:tcPr>
            <w:tcW w:w="0" w:type="auto"/>
            <w:tcBorders>
              <w:top w:val="single" w:sz="0" w:space="0" w:color="D3D3D3"/>
              <w:left w:val="single" w:sz="0" w:space="0" w:color="D3D3D3"/>
              <w:bottom w:val="single" w:sz="0" w:space="0" w:color="D3D3D3"/>
              <w:right w:val="single" w:sz="0" w:space="0" w:color="D3D3D3"/>
            </w:tcBorders>
          </w:tcPr>
          <w:p w14:paraId="1D5F2786" w14:textId="77777777" w:rsidR="008C0097" w:rsidRPr="00B15F3D" w:rsidRDefault="00674864">
            <w:pPr>
              <w:keepNext/>
              <w:spacing w:after="60"/>
              <w:jc w:val="center"/>
            </w:pPr>
            <w:r w:rsidRPr="00B15F3D">
              <w:rPr>
                <w:rFonts w:ascii="Calibri" w:hAnsi="Calibri"/>
                <w:sz w:val="20"/>
              </w:rPr>
              <w:t>3 (1%)</w:t>
            </w:r>
          </w:p>
        </w:tc>
        <w:tc>
          <w:tcPr>
            <w:tcW w:w="0" w:type="auto"/>
            <w:tcBorders>
              <w:top w:val="single" w:sz="0" w:space="0" w:color="D3D3D3"/>
              <w:left w:val="single" w:sz="0" w:space="0" w:color="D3D3D3"/>
              <w:bottom w:val="single" w:sz="0" w:space="0" w:color="D3D3D3"/>
              <w:right w:val="single" w:sz="0" w:space="0" w:color="D3D3D3"/>
            </w:tcBorders>
          </w:tcPr>
          <w:p w14:paraId="667C0D01" w14:textId="77777777" w:rsidR="008C0097" w:rsidRPr="00B15F3D" w:rsidRDefault="00674864">
            <w:pPr>
              <w:keepNext/>
              <w:spacing w:after="60"/>
              <w:jc w:val="center"/>
            </w:pPr>
            <w:r w:rsidRPr="00B15F3D">
              <w:rPr>
                <w:rFonts w:ascii="Calibri" w:hAnsi="Calibri"/>
                <w:sz w:val="20"/>
              </w:rPr>
              <w:t>4 (1%)</w:t>
            </w:r>
          </w:p>
        </w:tc>
        <w:tc>
          <w:tcPr>
            <w:tcW w:w="0" w:type="auto"/>
            <w:tcBorders>
              <w:top w:val="single" w:sz="0" w:space="0" w:color="D3D3D3"/>
              <w:left w:val="single" w:sz="0" w:space="0" w:color="D3D3D3"/>
              <w:bottom w:val="single" w:sz="0" w:space="0" w:color="D3D3D3"/>
              <w:right w:val="single" w:sz="0" w:space="0" w:color="D3D3D3"/>
            </w:tcBorders>
          </w:tcPr>
          <w:p w14:paraId="400BCA96" w14:textId="77777777" w:rsidR="008C0097" w:rsidRPr="00B15F3D" w:rsidRDefault="00674864">
            <w:pPr>
              <w:keepNext/>
              <w:spacing w:after="60"/>
              <w:jc w:val="center"/>
            </w:pPr>
            <w:r w:rsidRPr="00B15F3D">
              <w:rPr>
                <w:rFonts w:ascii="Calibri" w:hAnsi="Calibri"/>
                <w:sz w:val="20"/>
              </w:rPr>
              <w:t>17 (1%)</w:t>
            </w:r>
          </w:p>
        </w:tc>
      </w:tr>
      <w:tr w:rsidR="00B15F3D" w:rsidRPr="00B15F3D" w14:paraId="26448229"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68605155" w14:textId="77777777" w:rsidR="008C0097" w:rsidRPr="00B15F3D" w:rsidRDefault="00674864">
            <w:pPr>
              <w:keepNext/>
              <w:spacing w:after="60"/>
            </w:pPr>
            <w:r w:rsidRPr="00B15F3D">
              <w:rPr>
                <w:rFonts w:ascii="Calibri" w:hAnsi="Calibri"/>
                <w:sz w:val="20"/>
              </w:rPr>
              <w:t>    Dabrafenib</w:t>
            </w:r>
          </w:p>
        </w:tc>
        <w:tc>
          <w:tcPr>
            <w:tcW w:w="0" w:type="auto"/>
            <w:tcBorders>
              <w:top w:val="single" w:sz="0" w:space="0" w:color="D3D3D3"/>
              <w:left w:val="single" w:sz="0" w:space="0" w:color="D3D3D3"/>
              <w:bottom w:val="single" w:sz="0" w:space="0" w:color="D3D3D3"/>
              <w:right w:val="single" w:sz="0" w:space="0" w:color="D3D3D3"/>
            </w:tcBorders>
          </w:tcPr>
          <w:p w14:paraId="521D28A8" w14:textId="77777777" w:rsidR="008C0097" w:rsidRPr="00B15F3D" w:rsidRDefault="00674864">
            <w:pPr>
              <w:keepNext/>
              <w:spacing w:after="60"/>
              <w:jc w:val="center"/>
            </w:pPr>
            <w:r w:rsidRPr="00B15F3D">
              <w:rPr>
                <w:rFonts w:ascii="Calibri" w:hAnsi="Calibri"/>
                <w:sz w:val="20"/>
              </w:rPr>
              <w:t>11 (2%)</w:t>
            </w:r>
          </w:p>
        </w:tc>
        <w:tc>
          <w:tcPr>
            <w:tcW w:w="0" w:type="auto"/>
            <w:tcBorders>
              <w:top w:val="single" w:sz="0" w:space="0" w:color="D3D3D3"/>
              <w:left w:val="single" w:sz="0" w:space="0" w:color="D3D3D3"/>
              <w:bottom w:val="single" w:sz="0" w:space="0" w:color="D3D3D3"/>
              <w:right w:val="single" w:sz="0" w:space="0" w:color="D3D3D3"/>
            </w:tcBorders>
          </w:tcPr>
          <w:p w14:paraId="43AD9BC2" w14:textId="77777777" w:rsidR="008C0097" w:rsidRPr="00B15F3D" w:rsidRDefault="00674864">
            <w:pPr>
              <w:keepNext/>
              <w:spacing w:after="60"/>
              <w:jc w:val="center"/>
            </w:pPr>
            <w:r w:rsidRPr="00B15F3D">
              <w:rPr>
                <w:rFonts w:ascii="Calibri" w:hAnsi="Calibri"/>
                <w:sz w:val="20"/>
              </w:rPr>
              <w:t>0 (0%)</w:t>
            </w:r>
          </w:p>
        </w:tc>
        <w:tc>
          <w:tcPr>
            <w:tcW w:w="0" w:type="auto"/>
            <w:tcBorders>
              <w:top w:val="single" w:sz="0" w:space="0" w:color="D3D3D3"/>
              <w:left w:val="single" w:sz="0" w:space="0" w:color="D3D3D3"/>
              <w:bottom w:val="single" w:sz="0" w:space="0" w:color="D3D3D3"/>
              <w:right w:val="single" w:sz="0" w:space="0" w:color="D3D3D3"/>
            </w:tcBorders>
          </w:tcPr>
          <w:p w14:paraId="763D3C70" w14:textId="77777777" w:rsidR="008C0097" w:rsidRPr="00B15F3D" w:rsidRDefault="00674864">
            <w:pPr>
              <w:keepNext/>
              <w:spacing w:after="60"/>
              <w:jc w:val="center"/>
            </w:pPr>
            <w:r w:rsidRPr="00B15F3D">
              <w:rPr>
                <w:rFonts w:ascii="Calibri" w:hAnsi="Calibri"/>
                <w:sz w:val="20"/>
              </w:rPr>
              <w:t>11 (1%)</w:t>
            </w:r>
          </w:p>
        </w:tc>
      </w:tr>
      <w:tr w:rsidR="008C0097" w:rsidRPr="00B15F3D" w14:paraId="5CF53F18" w14:textId="77777777">
        <w:trPr>
          <w:cantSplit/>
          <w:jc w:val="center"/>
        </w:trPr>
        <w:tc>
          <w:tcPr>
            <w:tcW w:w="0" w:type="auto"/>
            <w:gridSpan w:val="4"/>
          </w:tcPr>
          <w:p w14:paraId="2D4220E8" w14:textId="77777777" w:rsidR="008C0097" w:rsidRPr="00B15F3D" w:rsidRDefault="00674864">
            <w:pPr>
              <w:keepNext/>
              <w:spacing w:after="60"/>
            </w:pPr>
            <w:r w:rsidRPr="00B15F3D">
              <w:rPr>
                <w:rFonts w:ascii="Calibri" w:hAnsi="Calibri"/>
                <w:i/>
                <w:sz w:val="20"/>
                <w:vertAlign w:val="superscript"/>
              </w:rPr>
              <w:t>1</w:t>
            </w:r>
            <w:r w:rsidRPr="00B15F3D">
              <w:rPr>
                <w:rFonts w:ascii="Calibri" w:hAnsi="Calibri"/>
                <w:sz w:val="20"/>
              </w:rPr>
              <w:t>n (%)</w:t>
            </w:r>
          </w:p>
        </w:tc>
      </w:tr>
      <w:bookmarkEnd w:id="8"/>
      <w:bookmarkEnd w:id="16"/>
    </w:tbl>
    <w:p w14:paraId="47825B41" w14:textId="77777777" w:rsidR="00D46948" w:rsidRPr="00B15F3D" w:rsidRDefault="00D46948"/>
    <w:sectPr w:rsidR="00D46948" w:rsidRPr="00B15F3D">
      <w:headerReference w:type="even" r:id="rId14"/>
      <w:headerReference w:type="default" r:id="rId15"/>
      <w:footerReference w:type="even" r:id="rId16"/>
      <w:footerReference w:type="default" r:id="rId17"/>
      <w:headerReference w:type="first" r:id="rId18"/>
      <w:footerReference w:type="first" r:id="rId19"/>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14B2DA" w14:textId="77777777" w:rsidR="00F76E1D" w:rsidRDefault="00F76E1D">
      <w:pPr>
        <w:spacing w:after="0"/>
      </w:pPr>
      <w:r>
        <w:separator/>
      </w:r>
    </w:p>
  </w:endnote>
  <w:endnote w:type="continuationSeparator" w:id="0">
    <w:p w14:paraId="320F782E" w14:textId="77777777" w:rsidR="00F76E1D" w:rsidRDefault="00F76E1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A2EF8D" w14:textId="77777777" w:rsidR="00DA6874" w:rsidRDefault="00DA687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D0E76" w14:textId="77777777" w:rsidR="00DA6874" w:rsidRDefault="00674864" w:rsidP="007517DE">
    <w:pPr>
      <w:pStyle w:val="Footer"/>
      <w:jc w:val="right"/>
    </w:pPr>
    <w:r>
      <w:t xml:space="preserve">Page </w:t>
    </w:r>
    <w:r>
      <w:rPr>
        <w:b/>
        <w:bCs/>
      </w:rPr>
      <w:fldChar w:fldCharType="begin"/>
    </w:r>
    <w:r>
      <w:rPr>
        <w:b/>
        <w:bCs/>
      </w:rPr>
      <w:instrText xml:space="preserve"> PAGE  \* Arabic  \* MERGEFORMAT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Pr>
        <w:b/>
        <w:bCs/>
        <w:noProof/>
      </w:rPr>
      <w:t>2</w:t>
    </w:r>
    <w:r>
      <w:rPr>
        <w:b/>
        <w:bC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9A24F4" w14:textId="77777777" w:rsidR="00DA6874" w:rsidRDefault="00DA687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B1F778" w14:textId="77777777" w:rsidR="00F76E1D" w:rsidRDefault="00F76E1D">
      <w:r>
        <w:separator/>
      </w:r>
    </w:p>
  </w:footnote>
  <w:footnote w:type="continuationSeparator" w:id="0">
    <w:p w14:paraId="716FF8C2" w14:textId="77777777" w:rsidR="00F76E1D" w:rsidRDefault="00F76E1D">
      <w:r>
        <w:continuationSeparator/>
      </w:r>
    </w:p>
  </w:footnote>
  <w:footnote w:id="1">
    <w:p w14:paraId="44DC90D0" w14:textId="77777777" w:rsidR="0030202C" w:rsidRPr="00B15F3D" w:rsidRDefault="0030202C" w:rsidP="0030202C">
      <w:pPr>
        <w:pStyle w:val="FootnoteText"/>
        <w:rPr>
          <w:lang w:val="en-GB"/>
        </w:rPr>
      </w:pPr>
      <w:r>
        <w:rPr>
          <w:rStyle w:val="FootnoteReference"/>
        </w:rPr>
        <w:footnoteRef/>
      </w:r>
      <w:r>
        <w:t xml:space="preserve"> </w:t>
      </w:r>
      <w:hyperlink r:id="rId1" w:history="1">
        <w:r w:rsidRPr="000F0AEB">
          <w:rPr>
            <w:rStyle w:val="Hyperlink"/>
            <w:color w:val="auto"/>
          </w:rPr>
          <w:t>Introduction to health technology evaluation | NICE health technology evaluations: the manual | Guidance | NICE</w:t>
        </w:r>
      </w:hyperlink>
    </w:p>
  </w:footnote>
  <w:footnote w:id="2">
    <w:p w14:paraId="5CAC6163" w14:textId="77777777" w:rsidR="0030202C" w:rsidRPr="00F1220A" w:rsidRDefault="0030202C" w:rsidP="0030202C">
      <w:pPr>
        <w:pStyle w:val="FootnoteText"/>
        <w:rPr>
          <w:lang w:val="en-GB"/>
        </w:rPr>
      </w:pPr>
      <w:r w:rsidRPr="00B15F3D">
        <w:rPr>
          <w:rStyle w:val="FootnoteReference"/>
        </w:rPr>
        <w:footnoteRef/>
      </w:r>
      <w:r w:rsidRPr="00B15F3D">
        <w:t xml:space="preserve"> </w:t>
      </w:r>
      <w:hyperlink r:id="rId2" w:history="1">
        <w:r w:rsidRPr="000F0AEB">
          <w:rPr>
            <w:rStyle w:val="Hyperlink"/>
            <w:color w:val="auto"/>
          </w:rPr>
          <w:t>Survival analysis TSD | NICE Decision Support Unit | The University of Sheffield</w:t>
        </w:r>
      </w:hyperlink>
    </w:p>
  </w:footnote>
  <w:footnote w:id="3">
    <w:p w14:paraId="45092FE2" w14:textId="7627C0DD" w:rsidR="00E243DA" w:rsidRPr="00E243DA" w:rsidRDefault="00E243DA">
      <w:pPr>
        <w:pStyle w:val="FootnoteText"/>
        <w:rPr>
          <w:lang w:val="en-GB"/>
        </w:rPr>
      </w:pPr>
      <w:r>
        <w:rPr>
          <w:rStyle w:val="FootnoteReference"/>
        </w:rPr>
        <w:footnoteRef/>
      </w:r>
      <w:r w:rsidRPr="00B15F3D">
        <w:t xml:space="preserve"> </w:t>
      </w:r>
      <w:hyperlink r:id="rId3" w:history="1">
        <w:r w:rsidRPr="000F0AEB">
          <w:rPr>
            <w:rStyle w:val="Hyperlink"/>
            <w:color w:val="auto"/>
          </w:rPr>
          <w:t>Data Resource Profile: The Systemic Anti-Cancer Therapy (SACT) dataset | International Journal of Epidemiology | Oxford Academic</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5C4FA1" w14:textId="77777777" w:rsidR="00DA6874" w:rsidRDefault="00DA687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32DD96" w14:textId="77777777" w:rsidR="00DA6874" w:rsidRDefault="00674864">
    <w:pPr>
      <w:pStyle w:val="Header"/>
    </w:pPr>
    <w:r w:rsidRPr="000E748E">
      <w:rPr>
        <w:noProof/>
      </w:rPr>
      <w:drawing>
        <wp:anchor distT="0" distB="0" distL="114300" distR="114300" simplePos="0" relativeHeight="251661312" behindDoc="1" locked="0" layoutInCell="1" allowOverlap="1" wp14:anchorId="1F1E0666" wp14:editId="61CF5FC0">
          <wp:simplePos x="0" y="0"/>
          <wp:positionH relativeFrom="column">
            <wp:posOffset>4340225</wp:posOffset>
          </wp:positionH>
          <wp:positionV relativeFrom="paragraph">
            <wp:posOffset>-117475</wp:posOffset>
          </wp:positionV>
          <wp:extent cx="1590675" cy="534319"/>
          <wp:effectExtent l="0" t="0" r="0" b="0"/>
          <wp:wrapTight wrapText="bothSides">
            <wp:wrapPolygon edited="0">
              <wp:start x="0" y="0"/>
              <wp:lineTo x="0" y="20804"/>
              <wp:lineTo x="21212" y="20804"/>
              <wp:lineTo x="21212" y="0"/>
              <wp:lineTo x="0" y="0"/>
            </wp:wrapPolygon>
          </wp:wrapTight>
          <wp:docPr id="398737293" name="Picture 2" descr="National Disease Registration Service (NDR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737293" name="Picture 2" descr="National Disease Registration Service (NDRS)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0675" cy="534319"/>
                  </a:xfrm>
                  <a:prstGeom prst="rect">
                    <a:avLst/>
                  </a:prstGeom>
                  <a:noFill/>
                  <a:ln>
                    <a:noFill/>
                  </a:ln>
                </pic:spPr>
              </pic:pic>
            </a:graphicData>
          </a:graphic>
        </wp:anchor>
      </w:drawing>
    </w:r>
    <w:r>
      <w:rPr>
        <w:noProof/>
      </w:rPr>
      <w:drawing>
        <wp:anchor distT="0" distB="0" distL="114300" distR="114300" simplePos="0" relativeHeight="251659264" behindDoc="0" locked="0" layoutInCell="1" allowOverlap="1" wp14:anchorId="335A7F8A" wp14:editId="31DB9864">
          <wp:simplePos x="0" y="0"/>
          <wp:positionH relativeFrom="margin">
            <wp:posOffset>0</wp:posOffset>
          </wp:positionH>
          <wp:positionV relativeFrom="topMargin">
            <wp:posOffset>457200</wp:posOffset>
          </wp:positionV>
          <wp:extent cx="2444400" cy="252000"/>
          <wp:effectExtent l="0" t="0" r="0" b="0"/>
          <wp:wrapNone/>
          <wp:docPr id="1" name="Picture 1" descr="Logo: National Institute for Health and Care Excellenc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National Institute for Health and Care Excellence&#10;"/>
                  <pic:cNvPicPr/>
                </pic:nvPicPr>
                <pic:blipFill>
                  <a:blip r:embed="rId2">
                    <a:extLst>
                      <a:ext uri="{28A0092B-C50C-407E-A947-70E740481C1C}">
                        <a14:useLocalDpi xmlns:a14="http://schemas.microsoft.com/office/drawing/2010/main" val="0"/>
                      </a:ext>
                    </a:extLst>
                  </a:blip>
                  <a:stretch>
                    <a:fillRect/>
                  </a:stretch>
                </pic:blipFill>
                <pic:spPr>
                  <a:xfrm>
                    <a:off x="0" y="0"/>
                    <a:ext cx="2444400" cy="2520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58BE13" w14:textId="77777777" w:rsidR="00DA6874" w:rsidRDefault="00DA687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A990"/>
    <w:multiLevelType w:val="multilevel"/>
    <w:tmpl w:val="F5984D1C"/>
    <w:lvl w:ilvl="0">
      <w:numFmt w:val="bullet"/>
      <w:lvlText w:val=" "/>
      <w:lvlJc w:val="left"/>
      <w:pPr>
        <w:ind w:left="720" w:hanging="480"/>
      </w:pPr>
    </w:lvl>
    <w:lvl w:ilvl="1">
      <w:numFmt w:val="bullet"/>
      <w:lvlText w:val=" "/>
      <w:lvlJc w:val="left"/>
      <w:pPr>
        <w:ind w:left="1440" w:hanging="480"/>
      </w:pPr>
    </w:lvl>
    <w:lvl w:ilvl="2">
      <w:numFmt w:val="bullet"/>
      <w:lvlText w:val=" "/>
      <w:lvlJc w:val="left"/>
      <w:pPr>
        <w:ind w:left="2160" w:hanging="480"/>
      </w:pPr>
    </w:lvl>
    <w:lvl w:ilvl="3">
      <w:numFmt w:val="bullet"/>
      <w:lvlText w:val=" "/>
      <w:lvlJc w:val="left"/>
      <w:pPr>
        <w:ind w:left="2880" w:hanging="480"/>
      </w:pPr>
    </w:lvl>
    <w:lvl w:ilvl="4">
      <w:numFmt w:val="bullet"/>
      <w:lvlText w:val=" "/>
      <w:lvlJc w:val="left"/>
      <w:pPr>
        <w:ind w:left="3600" w:hanging="480"/>
      </w:pPr>
    </w:lvl>
    <w:lvl w:ilvl="5">
      <w:numFmt w:val="bullet"/>
      <w:lvlText w:val=" "/>
      <w:lvlJc w:val="left"/>
      <w:pPr>
        <w:ind w:left="4320" w:hanging="480"/>
      </w:pPr>
    </w:lvl>
    <w:lvl w:ilvl="6">
      <w:numFmt w:val="bullet"/>
      <w:lvlText w:val=" "/>
      <w:lvlJc w:val="left"/>
      <w:pPr>
        <w:ind w:left="5040" w:hanging="480"/>
      </w:pPr>
    </w:lvl>
    <w:lvl w:ilvl="7">
      <w:numFmt w:val="bullet"/>
      <w:lvlText w:val=" "/>
      <w:lvlJc w:val="left"/>
      <w:pPr>
        <w:ind w:left="5760" w:hanging="480"/>
      </w:pPr>
    </w:lvl>
    <w:lvl w:ilvl="8">
      <w:numFmt w:val="bullet"/>
      <w:lvlText w:val=" "/>
      <w:lvlJc w:val="left"/>
      <w:pPr>
        <w:ind w:left="6480" w:hanging="480"/>
      </w:pPr>
    </w:lvl>
  </w:abstractNum>
  <w:abstractNum w:abstractNumId="1" w15:restartNumberingAfterBreak="0">
    <w:nsid w:val="0000A991"/>
    <w:multiLevelType w:val="multilevel"/>
    <w:tmpl w:val="655012FE"/>
    <w:lvl w:ilvl="0">
      <w:numFmt w:val="bullet"/>
      <w:lvlText w:val="•"/>
      <w:lvlJc w:val="left"/>
      <w:pPr>
        <w:ind w:left="720" w:hanging="480"/>
      </w:pPr>
    </w:lvl>
    <w:lvl w:ilvl="1">
      <w:numFmt w:val="bullet"/>
      <w:lvlText w:val="–"/>
      <w:lvlJc w:val="left"/>
      <w:pPr>
        <w:ind w:left="1440" w:hanging="480"/>
      </w:pPr>
    </w:lvl>
    <w:lvl w:ilvl="2">
      <w:numFmt w:val="bullet"/>
      <w:lvlText w:val="•"/>
      <w:lvlJc w:val="left"/>
      <w:pPr>
        <w:ind w:left="2160" w:hanging="480"/>
      </w:pPr>
    </w:lvl>
    <w:lvl w:ilvl="3">
      <w:numFmt w:val="bullet"/>
      <w:lvlText w:val="–"/>
      <w:lvlJc w:val="left"/>
      <w:pPr>
        <w:ind w:left="2880" w:hanging="480"/>
      </w:pPr>
    </w:lvl>
    <w:lvl w:ilvl="4">
      <w:numFmt w:val="bullet"/>
      <w:lvlText w:val="•"/>
      <w:lvlJc w:val="left"/>
      <w:pPr>
        <w:ind w:left="3600" w:hanging="480"/>
      </w:pPr>
    </w:lvl>
    <w:lvl w:ilvl="5">
      <w:numFmt w:val="bullet"/>
      <w:lvlText w:val="–"/>
      <w:lvlJc w:val="left"/>
      <w:pPr>
        <w:ind w:left="4320" w:hanging="480"/>
      </w:pPr>
    </w:lvl>
    <w:lvl w:ilvl="6">
      <w:numFmt w:val="bullet"/>
      <w:lvlText w:val="•"/>
      <w:lvlJc w:val="left"/>
      <w:pPr>
        <w:ind w:left="5040" w:hanging="480"/>
      </w:pPr>
    </w:lvl>
    <w:lvl w:ilvl="7">
      <w:numFmt w:val="bullet"/>
      <w:lvlText w:val="–"/>
      <w:lvlJc w:val="left"/>
      <w:pPr>
        <w:ind w:left="5760" w:hanging="480"/>
      </w:pPr>
    </w:lvl>
    <w:lvl w:ilvl="8">
      <w:numFmt w:val="bullet"/>
      <w:lvlText w:val="•"/>
      <w:lvlJc w:val="left"/>
      <w:pPr>
        <w:ind w:left="6480" w:hanging="480"/>
      </w:pPr>
    </w:lvl>
  </w:abstractNum>
  <w:abstractNum w:abstractNumId="2" w15:restartNumberingAfterBreak="0">
    <w:nsid w:val="00A99411"/>
    <w:multiLevelType w:val="multilevel"/>
    <w:tmpl w:val="A9E0909C"/>
    <w:lvl w:ilvl="0">
      <w:start w:val="1"/>
      <w:numFmt w:val="decimal"/>
      <w:lvlText w:val="%1."/>
      <w:lvlJc w:val="left"/>
      <w:pPr>
        <w:ind w:left="720" w:hanging="480"/>
      </w:pPr>
    </w:lvl>
    <w:lvl w:ilvl="1">
      <w:start w:val="1"/>
      <w:numFmt w:val="decimal"/>
      <w:lvlText w:val="%2."/>
      <w:lvlJc w:val="left"/>
      <w:pPr>
        <w:ind w:left="1440" w:hanging="480"/>
      </w:pPr>
    </w:lvl>
    <w:lvl w:ilvl="2">
      <w:start w:val="1"/>
      <w:numFmt w:val="decimal"/>
      <w:lvlText w:val="%3."/>
      <w:lvlJc w:val="left"/>
      <w:pPr>
        <w:ind w:left="2160" w:hanging="480"/>
      </w:pPr>
    </w:lvl>
    <w:lvl w:ilvl="3">
      <w:start w:val="1"/>
      <w:numFmt w:val="decimal"/>
      <w:lvlText w:val="%4."/>
      <w:lvlJc w:val="left"/>
      <w:pPr>
        <w:ind w:left="2880" w:hanging="480"/>
      </w:pPr>
    </w:lvl>
    <w:lvl w:ilvl="4">
      <w:start w:val="1"/>
      <w:numFmt w:val="decimal"/>
      <w:lvlText w:val="%5."/>
      <w:lvlJc w:val="left"/>
      <w:pPr>
        <w:ind w:left="3600" w:hanging="480"/>
      </w:pPr>
    </w:lvl>
    <w:lvl w:ilvl="5">
      <w:start w:val="1"/>
      <w:numFmt w:val="decimal"/>
      <w:lvlText w:val="%6."/>
      <w:lvlJc w:val="left"/>
      <w:pPr>
        <w:ind w:left="4320" w:hanging="480"/>
      </w:pPr>
    </w:lvl>
    <w:lvl w:ilvl="6">
      <w:start w:val="1"/>
      <w:numFmt w:val="decimal"/>
      <w:lvlText w:val="%7."/>
      <w:lvlJc w:val="left"/>
      <w:pPr>
        <w:ind w:left="5040" w:hanging="480"/>
      </w:pPr>
    </w:lvl>
    <w:lvl w:ilvl="7">
      <w:start w:val="1"/>
      <w:numFmt w:val="decimal"/>
      <w:lvlText w:val="%8."/>
      <w:lvlJc w:val="left"/>
      <w:pPr>
        <w:ind w:left="5760" w:hanging="480"/>
      </w:pPr>
    </w:lvl>
    <w:lvl w:ilvl="8">
      <w:start w:val="1"/>
      <w:numFmt w:val="decimal"/>
      <w:lvlText w:val="%9."/>
      <w:lvlJc w:val="left"/>
      <w:pPr>
        <w:ind w:left="6480" w:hanging="480"/>
      </w:pPr>
    </w:lvl>
  </w:abstractNum>
  <w:abstractNum w:abstractNumId="3" w15:restartNumberingAfterBreak="0">
    <w:nsid w:val="1F733F64"/>
    <w:multiLevelType w:val="hybridMultilevel"/>
    <w:tmpl w:val="3CC496C6"/>
    <w:lvl w:ilvl="0" w:tplc="A5EE1AB6">
      <w:start w:val="1"/>
      <w:numFmt w:val="bullet"/>
      <w:lvlText w:val=""/>
      <w:lvlJc w:val="left"/>
      <w:pPr>
        <w:ind w:left="720" w:hanging="360"/>
      </w:pPr>
      <w:rPr>
        <w:rFonts w:ascii="Symbol" w:hAnsi="Symbol"/>
      </w:rPr>
    </w:lvl>
    <w:lvl w:ilvl="1" w:tplc="006C6BCA">
      <w:start w:val="1"/>
      <w:numFmt w:val="bullet"/>
      <w:lvlText w:val=""/>
      <w:lvlJc w:val="left"/>
      <w:pPr>
        <w:ind w:left="720" w:hanging="360"/>
      </w:pPr>
      <w:rPr>
        <w:rFonts w:ascii="Symbol" w:hAnsi="Symbol"/>
      </w:rPr>
    </w:lvl>
    <w:lvl w:ilvl="2" w:tplc="C5C4A510">
      <w:start w:val="1"/>
      <w:numFmt w:val="bullet"/>
      <w:lvlText w:val=""/>
      <w:lvlJc w:val="left"/>
      <w:pPr>
        <w:ind w:left="720" w:hanging="360"/>
      </w:pPr>
      <w:rPr>
        <w:rFonts w:ascii="Symbol" w:hAnsi="Symbol"/>
      </w:rPr>
    </w:lvl>
    <w:lvl w:ilvl="3" w:tplc="C29A113A">
      <w:start w:val="1"/>
      <w:numFmt w:val="bullet"/>
      <w:lvlText w:val=""/>
      <w:lvlJc w:val="left"/>
      <w:pPr>
        <w:ind w:left="720" w:hanging="360"/>
      </w:pPr>
      <w:rPr>
        <w:rFonts w:ascii="Symbol" w:hAnsi="Symbol"/>
      </w:rPr>
    </w:lvl>
    <w:lvl w:ilvl="4" w:tplc="545E04E0">
      <w:start w:val="1"/>
      <w:numFmt w:val="bullet"/>
      <w:lvlText w:val=""/>
      <w:lvlJc w:val="left"/>
      <w:pPr>
        <w:ind w:left="720" w:hanging="360"/>
      </w:pPr>
      <w:rPr>
        <w:rFonts w:ascii="Symbol" w:hAnsi="Symbol"/>
      </w:rPr>
    </w:lvl>
    <w:lvl w:ilvl="5" w:tplc="6F4C146C">
      <w:start w:val="1"/>
      <w:numFmt w:val="bullet"/>
      <w:lvlText w:val=""/>
      <w:lvlJc w:val="left"/>
      <w:pPr>
        <w:ind w:left="720" w:hanging="360"/>
      </w:pPr>
      <w:rPr>
        <w:rFonts w:ascii="Symbol" w:hAnsi="Symbol"/>
      </w:rPr>
    </w:lvl>
    <w:lvl w:ilvl="6" w:tplc="DE76F63E">
      <w:start w:val="1"/>
      <w:numFmt w:val="bullet"/>
      <w:lvlText w:val=""/>
      <w:lvlJc w:val="left"/>
      <w:pPr>
        <w:ind w:left="720" w:hanging="360"/>
      </w:pPr>
      <w:rPr>
        <w:rFonts w:ascii="Symbol" w:hAnsi="Symbol"/>
      </w:rPr>
    </w:lvl>
    <w:lvl w:ilvl="7" w:tplc="42DA124A">
      <w:start w:val="1"/>
      <w:numFmt w:val="bullet"/>
      <w:lvlText w:val=""/>
      <w:lvlJc w:val="left"/>
      <w:pPr>
        <w:ind w:left="720" w:hanging="360"/>
      </w:pPr>
      <w:rPr>
        <w:rFonts w:ascii="Symbol" w:hAnsi="Symbol"/>
      </w:rPr>
    </w:lvl>
    <w:lvl w:ilvl="8" w:tplc="DD48A48E">
      <w:start w:val="1"/>
      <w:numFmt w:val="bullet"/>
      <w:lvlText w:val=""/>
      <w:lvlJc w:val="left"/>
      <w:pPr>
        <w:ind w:left="720" w:hanging="360"/>
      </w:pPr>
      <w:rPr>
        <w:rFonts w:ascii="Symbol" w:hAnsi="Symbol"/>
      </w:rPr>
    </w:lvl>
  </w:abstractNum>
  <w:abstractNum w:abstractNumId="4" w15:restartNumberingAfterBreak="0">
    <w:nsid w:val="65663F6C"/>
    <w:multiLevelType w:val="hybridMultilevel"/>
    <w:tmpl w:val="A9D60C8A"/>
    <w:lvl w:ilvl="0" w:tplc="7AA824E6">
      <w:start w:val="1"/>
      <w:numFmt w:val="bullet"/>
      <w:lvlText w:val=""/>
      <w:lvlJc w:val="left"/>
      <w:pPr>
        <w:ind w:left="720" w:hanging="360"/>
      </w:pPr>
      <w:rPr>
        <w:rFonts w:ascii="Symbol" w:hAnsi="Symbol"/>
      </w:rPr>
    </w:lvl>
    <w:lvl w:ilvl="1" w:tplc="167A8EE4">
      <w:start w:val="1"/>
      <w:numFmt w:val="bullet"/>
      <w:lvlText w:val=""/>
      <w:lvlJc w:val="left"/>
      <w:pPr>
        <w:ind w:left="720" w:hanging="360"/>
      </w:pPr>
      <w:rPr>
        <w:rFonts w:ascii="Symbol" w:hAnsi="Symbol"/>
      </w:rPr>
    </w:lvl>
    <w:lvl w:ilvl="2" w:tplc="358C8AFE">
      <w:start w:val="1"/>
      <w:numFmt w:val="bullet"/>
      <w:lvlText w:val=""/>
      <w:lvlJc w:val="left"/>
      <w:pPr>
        <w:ind w:left="720" w:hanging="360"/>
      </w:pPr>
      <w:rPr>
        <w:rFonts w:ascii="Symbol" w:hAnsi="Symbol"/>
      </w:rPr>
    </w:lvl>
    <w:lvl w:ilvl="3" w:tplc="9DDCA5EC">
      <w:start w:val="1"/>
      <w:numFmt w:val="bullet"/>
      <w:lvlText w:val=""/>
      <w:lvlJc w:val="left"/>
      <w:pPr>
        <w:ind w:left="720" w:hanging="360"/>
      </w:pPr>
      <w:rPr>
        <w:rFonts w:ascii="Symbol" w:hAnsi="Symbol"/>
      </w:rPr>
    </w:lvl>
    <w:lvl w:ilvl="4" w:tplc="E136503E">
      <w:start w:val="1"/>
      <w:numFmt w:val="bullet"/>
      <w:lvlText w:val=""/>
      <w:lvlJc w:val="left"/>
      <w:pPr>
        <w:ind w:left="720" w:hanging="360"/>
      </w:pPr>
      <w:rPr>
        <w:rFonts w:ascii="Symbol" w:hAnsi="Symbol"/>
      </w:rPr>
    </w:lvl>
    <w:lvl w:ilvl="5" w:tplc="D4263F4E">
      <w:start w:val="1"/>
      <w:numFmt w:val="bullet"/>
      <w:lvlText w:val=""/>
      <w:lvlJc w:val="left"/>
      <w:pPr>
        <w:ind w:left="720" w:hanging="360"/>
      </w:pPr>
      <w:rPr>
        <w:rFonts w:ascii="Symbol" w:hAnsi="Symbol"/>
      </w:rPr>
    </w:lvl>
    <w:lvl w:ilvl="6" w:tplc="ECAAB462">
      <w:start w:val="1"/>
      <w:numFmt w:val="bullet"/>
      <w:lvlText w:val=""/>
      <w:lvlJc w:val="left"/>
      <w:pPr>
        <w:ind w:left="720" w:hanging="360"/>
      </w:pPr>
      <w:rPr>
        <w:rFonts w:ascii="Symbol" w:hAnsi="Symbol"/>
      </w:rPr>
    </w:lvl>
    <w:lvl w:ilvl="7" w:tplc="80D26E52">
      <w:start w:val="1"/>
      <w:numFmt w:val="bullet"/>
      <w:lvlText w:val=""/>
      <w:lvlJc w:val="left"/>
      <w:pPr>
        <w:ind w:left="720" w:hanging="360"/>
      </w:pPr>
      <w:rPr>
        <w:rFonts w:ascii="Symbol" w:hAnsi="Symbol"/>
      </w:rPr>
    </w:lvl>
    <w:lvl w:ilvl="8" w:tplc="D7E87274">
      <w:start w:val="1"/>
      <w:numFmt w:val="bullet"/>
      <w:lvlText w:val=""/>
      <w:lvlJc w:val="left"/>
      <w:pPr>
        <w:ind w:left="720" w:hanging="360"/>
      </w:pPr>
      <w:rPr>
        <w:rFonts w:ascii="Symbol" w:hAnsi="Symbol"/>
      </w:rPr>
    </w:lvl>
  </w:abstractNum>
  <w:num w:numId="1" w16cid:durableId="1126389124">
    <w:abstractNumId w:val="0"/>
  </w:num>
  <w:num w:numId="2" w16cid:durableId="1085616903">
    <w:abstractNumId w:val="1"/>
  </w:num>
  <w:num w:numId="3" w16cid:durableId="323628995">
    <w:abstractNumId w:val="1"/>
  </w:num>
  <w:num w:numId="4" w16cid:durableId="470707156">
    <w:abstractNumId w:val="0"/>
  </w:num>
  <w:num w:numId="5" w16cid:durableId="101372409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53105377">
    <w:abstractNumId w:val="1"/>
  </w:num>
  <w:num w:numId="7" w16cid:durableId="812405080">
    <w:abstractNumId w:val="3"/>
  </w:num>
  <w:num w:numId="8" w16cid:durableId="61853148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0097"/>
    <w:rsid w:val="00002EFF"/>
    <w:rsid w:val="000079E3"/>
    <w:rsid w:val="00075AA8"/>
    <w:rsid w:val="00084283"/>
    <w:rsid w:val="000F0AEB"/>
    <w:rsid w:val="000F7473"/>
    <w:rsid w:val="00102705"/>
    <w:rsid w:val="00106599"/>
    <w:rsid w:val="00114948"/>
    <w:rsid w:val="001677AB"/>
    <w:rsid w:val="001677CC"/>
    <w:rsid w:val="00174BA3"/>
    <w:rsid w:val="0017597D"/>
    <w:rsid w:val="00196F96"/>
    <w:rsid w:val="001C726A"/>
    <w:rsid w:val="001F1D2D"/>
    <w:rsid w:val="00205E3A"/>
    <w:rsid w:val="002162BC"/>
    <w:rsid w:val="002630B9"/>
    <w:rsid w:val="00277F10"/>
    <w:rsid w:val="002A7073"/>
    <w:rsid w:val="002B62AC"/>
    <w:rsid w:val="002B6FB8"/>
    <w:rsid w:val="002D2CCD"/>
    <w:rsid w:val="0030202C"/>
    <w:rsid w:val="00310947"/>
    <w:rsid w:val="00326588"/>
    <w:rsid w:val="00356830"/>
    <w:rsid w:val="003636F9"/>
    <w:rsid w:val="00374728"/>
    <w:rsid w:val="00394F64"/>
    <w:rsid w:val="003A42CC"/>
    <w:rsid w:val="003D191F"/>
    <w:rsid w:val="003E202C"/>
    <w:rsid w:val="00422FA9"/>
    <w:rsid w:val="00435E3A"/>
    <w:rsid w:val="00454C50"/>
    <w:rsid w:val="004576F5"/>
    <w:rsid w:val="004904BF"/>
    <w:rsid w:val="004A2B80"/>
    <w:rsid w:val="00586F5F"/>
    <w:rsid w:val="00596F2E"/>
    <w:rsid w:val="005B07CD"/>
    <w:rsid w:val="005B2187"/>
    <w:rsid w:val="00616593"/>
    <w:rsid w:val="00626477"/>
    <w:rsid w:val="006302A5"/>
    <w:rsid w:val="00630E57"/>
    <w:rsid w:val="00647C4D"/>
    <w:rsid w:val="00674864"/>
    <w:rsid w:val="00682C72"/>
    <w:rsid w:val="00684DCA"/>
    <w:rsid w:val="006A720F"/>
    <w:rsid w:val="006C2088"/>
    <w:rsid w:val="006C2FB3"/>
    <w:rsid w:val="006C39DE"/>
    <w:rsid w:val="00701C25"/>
    <w:rsid w:val="00712BA2"/>
    <w:rsid w:val="00726A2F"/>
    <w:rsid w:val="00797E6C"/>
    <w:rsid w:val="007B2FDF"/>
    <w:rsid w:val="007D2003"/>
    <w:rsid w:val="00814285"/>
    <w:rsid w:val="00824579"/>
    <w:rsid w:val="0085701C"/>
    <w:rsid w:val="00885680"/>
    <w:rsid w:val="008A582B"/>
    <w:rsid w:val="008B3F12"/>
    <w:rsid w:val="008C0097"/>
    <w:rsid w:val="008E10EB"/>
    <w:rsid w:val="00915DAE"/>
    <w:rsid w:val="00A005A8"/>
    <w:rsid w:val="00A05B20"/>
    <w:rsid w:val="00A12F47"/>
    <w:rsid w:val="00A31373"/>
    <w:rsid w:val="00A46A7C"/>
    <w:rsid w:val="00A9215C"/>
    <w:rsid w:val="00A934FD"/>
    <w:rsid w:val="00A94E0A"/>
    <w:rsid w:val="00AC2FEE"/>
    <w:rsid w:val="00AE7E1D"/>
    <w:rsid w:val="00AF743B"/>
    <w:rsid w:val="00B04B90"/>
    <w:rsid w:val="00B061C2"/>
    <w:rsid w:val="00B15F3D"/>
    <w:rsid w:val="00B219F3"/>
    <w:rsid w:val="00B417FC"/>
    <w:rsid w:val="00B57D4B"/>
    <w:rsid w:val="00B60704"/>
    <w:rsid w:val="00B64164"/>
    <w:rsid w:val="00C0775B"/>
    <w:rsid w:val="00C132DF"/>
    <w:rsid w:val="00C44421"/>
    <w:rsid w:val="00C5446D"/>
    <w:rsid w:val="00CB0599"/>
    <w:rsid w:val="00CC2F9A"/>
    <w:rsid w:val="00CD0CA0"/>
    <w:rsid w:val="00CD33B2"/>
    <w:rsid w:val="00CE15BD"/>
    <w:rsid w:val="00D2028D"/>
    <w:rsid w:val="00D44FE0"/>
    <w:rsid w:val="00D46948"/>
    <w:rsid w:val="00D5324F"/>
    <w:rsid w:val="00D53791"/>
    <w:rsid w:val="00D854AF"/>
    <w:rsid w:val="00DA6874"/>
    <w:rsid w:val="00DE28DB"/>
    <w:rsid w:val="00DE3FEC"/>
    <w:rsid w:val="00E21EED"/>
    <w:rsid w:val="00E22379"/>
    <w:rsid w:val="00E243DA"/>
    <w:rsid w:val="00E24BF6"/>
    <w:rsid w:val="00E34940"/>
    <w:rsid w:val="00E54A0A"/>
    <w:rsid w:val="00E64135"/>
    <w:rsid w:val="00EB1C64"/>
    <w:rsid w:val="00F02CDB"/>
    <w:rsid w:val="00F1334B"/>
    <w:rsid w:val="00F3545B"/>
    <w:rsid w:val="00F50F86"/>
    <w:rsid w:val="00F76E1D"/>
    <w:rsid w:val="00F94D46"/>
    <w:rsid w:val="00FB580C"/>
    <w:rsid w:val="00FD4DB9"/>
    <w:rsid w:val="0BBD87D3"/>
    <w:rsid w:val="0C32DCE7"/>
    <w:rsid w:val="11DA8BE6"/>
    <w:rsid w:val="1A419715"/>
    <w:rsid w:val="1CC0011E"/>
    <w:rsid w:val="1CDE7164"/>
    <w:rsid w:val="1E706BE1"/>
    <w:rsid w:val="422ECEDE"/>
    <w:rsid w:val="4487406C"/>
    <w:rsid w:val="528C87F8"/>
    <w:rsid w:val="53AC72DE"/>
    <w:rsid w:val="545FC9FC"/>
    <w:rsid w:val="5752060D"/>
    <w:rsid w:val="66643D2C"/>
    <w:rsid w:val="7271F043"/>
  </w:rsids>
  <m:mathPr>
    <m:mathFont m:val="Cambria Math"/>
    <m:brkBin m:val="before"/>
    <m:brkBinSub m:val="--"/>
    <m:smallFrac m:val="0"/>
    <m:dispDef/>
    <m:lMargin m:val="0"/>
    <m:rMargin m:val="0"/>
    <m:defJc m:val="centerGroup"/>
    <m:wrapRight/>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180A7E"/>
  <w15:docId w15:val="{FEB698CE-B6FB-4E31-872A-5923210253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6">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paragraph" w:styleId="Heading1">
    <w:name w:val="heading 1"/>
    <w:basedOn w:val="Normal"/>
    <w:next w:val="BodyText"/>
    <w:uiPriority w:val="9"/>
    <w:qFormat/>
    <w:pPr>
      <w:keepNext/>
      <w:keepLines/>
      <w:spacing w:before="480" w:after="0"/>
      <w:outlineLvl w:val="0"/>
    </w:pPr>
    <w:rPr>
      <w:rFonts w:asciiTheme="majorHAnsi" w:eastAsiaTheme="majorEastAsia" w:hAnsiTheme="majorHAnsi" w:cstheme="majorBidi"/>
      <w:b/>
      <w:bCs/>
      <w:color w:val="4F81BD" w:themeColor="accent1"/>
      <w:sz w:val="32"/>
      <w:szCs w:val="32"/>
    </w:rPr>
  </w:style>
  <w:style w:type="paragraph" w:styleId="Heading2">
    <w:name w:val="heading 2"/>
    <w:basedOn w:val="Normal"/>
    <w:next w:val="BodyText"/>
    <w:uiPriority w:val="9"/>
    <w:unhideWhenUsed/>
    <w:qFormat/>
    <w:pPr>
      <w:keepNext/>
      <w:keepLines/>
      <w:spacing w:before="200" w:after="0"/>
      <w:outlineLvl w:val="1"/>
    </w:pPr>
    <w:rPr>
      <w:rFonts w:asciiTheme="majorHAnsi" w:eastAsiaTheme="majorEastAsia" w:hAnsiTheme="majorHAnsi" w:cstheme="majorBidi"/>
      <w:b/>
      <w:bCs/>
      <w:color w:val="4F81BD" w:themeColor="accent1"/>
      <w:sz w:val="28"/>
      <w:szCs w:val="28"/>
    </w:rPr>
  </w:style>
  <w:style w:type="paragraph" w:styleId="Heading3">
    <w:name w:val="heading 3"/>
    <w:basedOn w:val="Normal"/>
    <w:next w:val="BodyText"/>
    <w:uiPriority w:val="9"/>
    <w:unhideWhenUsed/>
    <w:qFormat/>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BodyText"/>
    <w:uiPriority w:val="9"/>
    <w:unhideWhenUsed/>
    <w:qFormat/>
    <w:pPr>
      <w:keepNext/>
      <w:keepLines/>
      <w:spacing w:before="200" w:after="0"/>
      <w:outlineLvl w:val="3"/>
    </w:pPr>
    <w:rPr>
      <w:rFonts w:asciiTheme="majorHAnsi" w:eastAsiaTheme="majorEastAsia" w:hAnsiTheme="majorHAnsi" w:cstheme="majorBidi"/>
      <w:bCs/>
      <w:i/>
      <w:color w:val="4F81BD" w:themeColor="accent1"/>
    </w:rPr>
  </w:style>
  <w:style w:type="paragraph" w:styleId="Heading5">
    <w:name w:val="heading 5"/>
    <w:basedOn w:val="Normal"/>
    <w:next w:val="BodyText"/>
    <w:uiPriority w:val="9"/>
    <w:unhideWhenUsed/>
    <w:qFormat/>
    <w:pPr>
      <w:keepNext/>
      <w:keepLines/>
      <w:spacing w:before="200" w:after="0"/>
      <w:outlineLvl w:val="4"/>
    </w:pPr>
    <w:rPr>
      <w:rFonts w:asciiTheme="majorHAnsi" w:eastAsiaTheme="majorEastAsia" w:hAnsiTheme="majorHAnsi" w:cstheme="majorBidi"/>
      <w:iCs/>
      <w:color w:val="4F81BD" w:themeColor="accent1"/>
    </w:rPr>
  </w:style>
  <w:style w:type="paragraph" w:styleId="Heading6">
    <w:name w:val="heading 6"/>
    <w:basedOn w:val="Normal"/>
    <w:next w:val="BodyText"/>
    <w:uiPriority w:val="9"/>
    <w:unhideWhenUsed/>
    <w:qFormat/>
    <w:pPr>
      <w:keepNext/>
      <w:keepLines/>
      <w:spacing w:before="200" w:after="0"/>
      <w:outlineLvl w:val="5"/>
    </w:pPr>
    <w:rPr>
      <w:rFonts w:asciiTheme="majorHAnsi" w:eastAsiaTheme="majorEastAsia" w:hAnsiTheme="majorHAnsi" w:cstheme="majorBidi"/>
      <w:color w:val="4F81BD" w:themeColor="accent1"/>
    </w:rPr>
  </w:style>
  <w:style w:type="paragraph" w:styleId="Heading7">
    <w:name w:val="heading 7"/>
    <w:basedOn w:val="Normal"/>
    <w:next w:val="BodyText"/>
    <w:uiPriority w:val="9"/>
    <w:unhideWhenUsed/>
    <w:qFormat/>
    <w:pPr>
      <w:keepNext/>
      <w:keepLines/>
      <w:spacing w:before="200" w:after="0"/>
      <w:outlineLvl w:val="6"/>
    </w:pPr>
    <w:rPr>
      <w:rFonts w:asciiTheme="majorHAnsi" w:eastAsiaTheme="majorEastAsia" w:hAnsiTheme="majorHAnsi" w:cstheme="majorBidi"/>
      <w:color w:val="4F81BD" w:themeColor="accent1"/>
    </w:rPr>
  </w:style>
  <w:style w:type="paragraph" w:styleId="Heading8">
    <w:name w:val="heading 8"/>
    <w:basedOn w:val="Normal"/>
    <w:next w:val="BodyText"/>
    <w:uiPriority w:val="9"/>
    <w:unhideWhenUsed/>
    <w:qFormat/>
    <w:pPr>
      <w:keepNext/>
      <w:keepLines/>
      <w:spacing w:before="200" w:after="0"/>
      <w:outlineLvl w:val="7"/>
    </w:pPr>
    <w:rPr>
      <w:rFonts w:asciiTheme="majorHAnsi" w:eastAsiaTheme="majorEastAsia" w:hAnsiTheme="majorHAnsi" w:cstheme="majorBidi"/>
      <w:color w:val="4F81BD" w:themeColor="accent1"/>
    </w:rPr>
  </w:style>
  <w:style w:type="paragraph" w:styleId="Heading9">
    <w:name w:val="heading 9"/>
    <w:basedOn w:val="Normal"/>
    <w:next w:val="BodyText"/>
    <w:uiPriority w:val="9"/>
    <w:unhideWhenUsed/>
    <w:qFormat/>
    <w:pPr>
      <w:keepNext/>
      <w:keepLines/>
      <w:spacing w:before="200" w:after="0"/>
      <w:outlineLvl w:val="8"/>
    </w:pPr>
    <w:rPr>
      <w:rFonts w:asciiTheme="majorHAnsi" w:eastAsiaTheme="majorEastAsia" w:hAnsiTheme="majorHAnsi" w:cstheme="majorBidi"/>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pPr>
      <w:spacing w:before="180" w:after="180"/>
    </w:pPr>
  </w:style>
  <w:style w:type="paragraph" w:customStyle="1" w:styleId="FirstParagraph">
    <w:name w:val="First Paragraph"/>
    <w:basedOn w:val="BodyText"/>
    <w:next w:val="BodyText"/>
    <w:qFormat/>
  </w:style>
  <w:style w:type="paragraph" w:customStyle="1" w:styleId="Compact">
    <w:name w:val="Compact"/>
    <w:basedOn w:val="BodyText"/>
    <w:qFormat/>
    <w:pPr>
      <w:spacing w:before="36" w:after="36"/>
    </w:pPr>
  </w:style>
  <w:style w:type="paragraph" w:styleId="Title">
    <w:name w:val="Title"/>
    <w:basedOn w:val="Normal"/>
    <w:next w:val="BodyText"/>
    <w:qFormat/>
    <w:pPr>
      <w:keepNext/>
      <w:keepLines/>
      <w:spacing w:before="480" w:after="240"/>
      <w:jc w:val="center"/>
    </w:pPr>
    <w:rPr>
      <w:rFonts w:asciiTheme="majorHAnsi" w:eastAsiaTheme="majorEastAsia" w:hAnsiTheme="majorHAnsi" w:cstheme="majorBidi"/>
      <w:b/>
      <w:bCs/>
      <w:color w:val="345A8A" w:themeColor="accent1" w:themeShade="B5"/>
      <w:sz w:val="36"/>
      <w:szCs w:val="36"/>
    </w:rPr>
  </w:style>
  <w:style w:type="paragraph" w:styleId="Subtitle">
    <w:name w:val="Subtitle"/>
    <w:basedOn w:val="Title"/>
    <w:next w:val="BodyText"/>
    <w:qFormat/>
    <w:pPr>
      <w:spacing w:before="240"/>
    </w:pPr>
    <w:rPr>
      <w:sz w:val="30"/>
      <w:szCs w:val="30"/>
    </w:rPr>
  </w:style>
  <w:style w:type="paragraph" w:customStyle="1" w:styleId="Author">
    <w:name w:val="Author"/>
    <w:next w:val="BodyText"/>
    <w:qFormat/>
    <w:pPr>
      <w:keepNext/>
      <w:keepLines/>
      <w:jc w:val="center"/>
    </w:pPr>
  </w:style>
  <w:style w:type="paragraph" w:styleId="Date">
    <w:name w:val="Date"/>
    <w:next w:val="BodyText"/>
    <w:qFormat/>
    <w:pPr>
      <w:keepNext/>
      <w:keepLines/>
      <w:jc w:val="center"/>
    </w:pPr>
  </w:style>
  <w:style w:type="paragraph" w:customStyle="1" w:styleId="AbstractTitle">
    <w:name w:val="Abstract Title"/>
    <w:basedOn w:val="Normal"/>
    <w:next w:val="Abstract"/>
    <w:qFormat/>
    <w:pPr>
      <w:keepNext/>
      <w:keepLines/>
      <w:spacing w:before="300" w:after="0"/>
      <w:jc w:val="center"/>
    </w:pPr>
    <w:rPr>
      <w:b/>
      <w:color w:val="345A8A"/>
      <w:sz w:val="20"/>
      <w:szCs w:val="20"/>
    </w:rPr>
  </w:style>
  <w:style w:type="paragraph" w:customStyle="1" w:styleId="Abstract">
    <w:name w:val="Abstract"/>
    <w:basedOn w:val="Normal"/>
    <w:next w:val="BodyText"/>
    <w:qFormat/>
    <w:pPr>
      <w:keepNext/>
      <w:keepLines/>
      <w:spacing w:before="100" w:after="300"/>
    </w:pPr>
    <w:rPr>
      <w:sz w:val="20"/>
      <w:szCs w:val="20"/>
    </w:rPr>
  </w:style>
  <w:style w:type="paragraph" w:styleId="Bibliography">
    <w:name w:val="Bibliography"/>
    <w:basedOn w:val="Normal"/>
    <w:qFormat/>
  </w:style>
  <w:style w:type="paragraph" w:styleId="BlockText">
    <w:name w:val="Block Text"/>
    <w:basedOn w:val="BodyText"/>
    <w:next w:val="BodyText"/>
    <w:uiPriority w:val="9"/>
    <w:unhideWhenUsed/>
    <w:qFormat/>
    <w:pPr>
      <w:spacing w:before="100" w:after="100"/>
      <w:ind w:left="480" w:right="480"/>
    </w:pPr>
  </w:style>
  <w:style w:type="paragraph" w:styleId="FootnoteText">
    <w:name w:val="footnote text"/>
    <w:basedOn w:val="Normal"/>
    <w:uiPriority w:val="9"/>
    <w:unhideWhenUsed/>
    <w:qFormat/>
  </w:style>
  <w:style w:type="paragraph" w:customStyle="1" w:styleId="FootnoteBlockText">
    <w:name w:val="Footnote Block Text"/>
    <w:uiPriority w:val="9"/>
    <w:unhideWhenUsed/>
    <w:qFormat/>
    <w:pPr>
      <w:spacing w:before="100" w:after="100"/>
      <w:ind w:left="480" w:right="480"/>
    </w:pPr>
  </w:style>
  <w:style w:type="table" w:customStyle="1" w:styleId="Table">
    <w:name w:val="Table"/>
    <w:semiHidden/>
    <w:unhideWhenUsed/>
    <w:qFormat/>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Caption">
    <w:name w:val="caption"/>
    <w:basedOn w:val="Normal"/>
    <w:link w:val="CaptionChar"/>
    <w:pPr>
      <w:spacing w:after="120"/>
    </w:pPr>
    <w:rPr>
      <w:i/>
    </w:rPr>
  </w:style>
  <w:style w:type="paragraph" w:customStyle="1" w:styleId="TableCaption">
    <w:name w:val="Table Caption"/>
    <w:basedOn w:val="Caption"/>
    <w:pPr>
      <w:keepNext/>
    </w:pPr>
  </w:style>
  <w:style w:type="paragraph" w:customStyle="1" w:styleId="ImageCaption">
    <w:name w:val="Image Caption"/>
    <w:basedOn w:val="Caption"/>
  </w:style>
  <w:style w:type="paragraph" w:customStyle="1" w:styleId="Figure">
    <w:name w:val="Figure"/>
    <w:basedOn w:val="Normal"/>
  </w:style>
  <w:style w:type="paragraph" w:customStyle="1" w:styleId="CaptionedFigure">
    <w:name w:val="Captioned Figure"/>
    <w:basedOn w:val="Figure"/>
    <w:pPr>
      <w:keepNext/>
    </w:pPr>
  </w:style>
  <w:style w:type="character" w:customStyle="1" w:styleId="CaptionChar">
    <w:name w:val="Caption Char"/>
    <w:basedOn w:val="DefaultParagraphFont"/>
    <w:link w:val="Caption"/>
  </w:style>
  <w:style w:type="character" w:customStyle="1" w:styleId="VerbatimChar">
    <w:name w:val="Verbatim Char"/>
    <w:basedOn w:val="CaptionChar"/>
    <w:link w:val="SourceCode"/>
    <w:rPr>
      <w:rFonts w:ascii="Consolas" w:hAnsi="Consolas"/>
      <w:sz w:val="22"/>
    </w:rPr>
  </w:style>
  <w:style w:type="character" w:customStyle="1" w:styleId="SectionNumber">
    <w:name w:val="Section Number"/>
    <w:basedOn w:val="CaptionChar"/>
  </w:style>
  <w:style w:type="character" w:styleId="FootnoteReference">
    <w:name w:val="footnote reference"/>
    <w:basedOn w:val="CaptionChar"/>
    <w:rPr>
      <w:vertAlign w:val="superscript"/>
    </w:rPr>
  </w:style>
  <w:style w:type="character" w:styleId="Hyperlink">
    <w:name w:val="Hyperlink"/>
    <w:basedOn w:val="CaptionChar"/>
    <w:rPr>
      <w:color w:val="4F81BD" w:themeColor="accent1"/>
    </w:rPr>
  </w:style>
  <w:style w:type="paragraph" w:styleId="TOCHeading">
    <w:name w:val="TOC Heading"/>
    <w:basedOn w:val="Heading1"/>
    <w:next w:val="BodyText"/>
    <w:uiPriority w:val="39"/>
    <w:unhideWhenUsed/>
    <w:qFormat/>
    <w:pPr>
      <w:spacing w:before="240" w:line="259" w:lineRule="auto"/>
      <w:outlineLvl w:val="9"/>
    </w:pPr>
    <w:rPr>
      <w:b w:val="0"/>
      <w:bCs w:val="0"/>
      <w:color w:val="365F91" w:themeColor="accent1" w:themeShade="BF"/>
    </w:rPr>
  </w:style>
  <w:style w:type="paragraph" w:customStyle="1" w:styleId="SourceCode">
    <w:name w:val="Source Code"/>
    <w:basedOn w:val="Normal"/>
    <w:link w:val="VerbatimChar"/>
    <w:pPr>
      <w:shd w:val="clear" w:color="auto" w:fill="F1F3F5"/>
      <w:wordWrap w:val="0"/>
    </w:pPr>
  </w:style>
  <w:style w:type="character" w:customStyle="1" w:styleId="KeywordTok">
    <w:name w:val="KeywordTok"/>
    <w:basedOn w:val="VerbatimChar"/>
    <w:rPr>
      <w:rFonts w:ascii="Consolas" w:hAnsi="Consolas"/>
      <w:color w:val="003B4F"/>
      <w:sz w:val="22"/>
      <w:shd w:val="clear" w:color="auto" w:fill="F1F3F5"/>
    </w:rPr>
  </w:style>
  <w:style w:type="character" w:customStyle="1" w:styleId="DataTypeTok">
    <w:name w:val="DataTypeTok"/>
    <w:basedOn w:val="VerbatimChar"/>
    <w:rPr>
      <w:rFonts w:ascii="Consolas" w:hAnsi="Consolas"/>
      <w:color w:val="AD0000"/>
      <w:sz w:val="22"/>
      <w:shd w:val="clear" w:color="auto" w:fill="F1F3F5"/>
    </w:rPr>
  </w:style>
  <w:style w:type="character" w:customStyle="1" w:styleId="DecValTok">
    <w:name w:val="DecValTok"/>
    <w:basedOn w:val="VerbatimChar"/>
    <w:rPr>
      <w:rFonts w:ascii="Consolas" w:hAnsi="Consolas"/>
      <w:color w:val="AD0000"/>
      <w:sz w:val="22"/>
      <w:shd w:val="clear" w:color="auto" w:fill="F1F3F5"/>
    </w:rPr>
  </w:style>
  <w:style w:type="character" w:customStyle="1" w:styleId="BaseNTok">
    <w:name w:val="BaseNTok"/>
    <w:basedOn w:val="VerbatimChar"/>
    <w:rPr>
      <w:rFonts w:ascii="Consolas" w:hAnsi="Consolas"/>
      <w:color w:val="AD0000"/>
      <w:sz w:val="22"/>
      <w:shd w:val="clear" w:color="auto" w:fill="F1F3F5"/>
    </w:rPr>
  </w:style>
  <w:style w:type="character" w:customStyle="1" w:styleId="FloatTok">
    <w:name w:val="FloatTok"/>
    <w:basedOn w:val="VerbatimChar"/>
    <w:rPr>
      <w:rFonts w:ascii="Consolas" w:hAnsi="Consolas"/>
      <w:color w:val="AD0000"/>
      <w:sz w:val="22"/>
      <w:shd w:val="clear" w:color="auto" w:fill="F1F3F5"/>
    </w:rPr>
  </w:style>
  <w:style w:type="character" w:customStyle="1" w:styleId="ConstantTok">
    <w:name w:val="ConstantTok"/>
    <w:basedOn w:val="VerbatimChar"/>
    <w:rPr>
      <w:rFonts w:ascii="Consolas" w:hAnsi="Consolas"/>
      <w:color w:val="8F5902"/>
      <w:sz w:val="22"/>
      <w:shd w:val="clear" w:color="auto" w:fill="F1F3F5"/>
    </w:rPr>
  </w:style>
  <w:style w:type="character" w:customStyle="1" w:styleId="CharTok">
    <w:name w:val="CharTok"/>
    <w:basedOn w:val="VerbatimChar"/>
    <w:rPr>
      <w:rFonts w:ascii="Consolas" w:hAnsi="Consolas"/>
      <w:color w:val="20794D"/>
      <w:sz w:val="22"/>
      <w:shd w:val="clear" w:color="auto" w:fill="F1F3F5"/>
    </w:rPr>
  </w:style>
  <w:style w:type="character" w:customStyle="1" w:styleId="SpecialCharTok">
    <w:name w:val="SpecialCharTok"/>
    <w:basedOn w:val="VerbatimChar"/>
    <w:rPr>
      <w:rFonts w:ascii="Consolas" w:hAnsi="Consolas"/>
      <w:color w:val="5E5E5E"/>
      <w:sz w:val="22"/>
      <w:shd w:val="clear" w:color="auto" w:fill="F1F3F5"/>
    </w:rPr>
  </w:style>
  <w:style w:type="character" w:customStyle="1" w:styleId="StringTok">
    <w:name w:val="StringTok"/>
    <w:basedOn w:val="VerbatimChar"/>
    <w:rPr>
      <w:rFonts w:ascii="Consolas" w:hAnsi="Consolas"/>
      <w:color w:val="20794D"/>
      <w:sz w:val="22"/>
      <w:shd w:val="clear" w:color="auto" w:fill="F1F3F5"/>
    </w:rPr>
  </w:style>
  <w:style w:type="character" w:customStyle="1" w:styleId="VerbatimStringTok">
    <w:name w:val="VerbatimStringTok"/>
    <w:basedOn w:val="VerbatimChar"/>
    <w:rPr>
      <w:rFonts w:ascii="Consolas" w:hAnsi="Consolas"/>
      <w:color w:val="20794D"/>
      <w:sz w:val="22"/>
      <w:shd w:val="clear" w:color="auto" w:fill="F1F3F5"/>
    </w:rPr>
  </w:style>
  <w:style w:type="character" w:customStyle="1" w:styleId="SpecialStringTok">
    <w:name w:val="SpecialStringTok"/>
    <w:basedOn w:val="VerbatimChar"/>
    <w:rPr>
      <w:rFonts w:ascii="Consolas" w:hAnsi="Consolas"/>
      <w:color w:val="20794D"/>
      <w:sz w:val="22"/>
      <w:shd w:val="clear" w:color="auto" w:fill="F1F3F5"/>
    </w:rPr>
  </w:style>
  <w:style w:type="character" w:customStyle="1" w:styleId="ImportTok">
    <w:name w:val="ImportTok"/>
    <w:basedOn w:val="VerbatimChar"/>
    <w:rPr>
      <w:rFonts w:ascii="Consolas" w:hAnsi="Consolas"/>
      <w:color w:val="00769E"/>
      <w:sz w:val="22"/>
      <w:shd w:val="clear" w:color="auto" w:fill="F1F3F5"/>
    </w:rPr>
  </w:style>
  <w:style w:type="character" w:customStyle="1" w:styleId="CommentTok">
    <w:name w:val="CommentTok"/>
    <w:basedOn w:val="VerbatimChar"/>
    <w:rPr>
      <w:rFonts w:ascii="Consolas" w:hAnsi="Consolas"/>
      <w:color w:val="5E5E5E"/>
      <w:sz w:val="22"/>
      <w:shd w:val="clear" w:color="auto" w:fill="F1F3F5"/>
    </w:rPr>
  </w:style>
  <w:style w:type="character" w:customStyle="1" w:styleId="DocumentationTok">
    <w:name w:val="DocumentationTok"/>
    <w:basedOn w:val="VerbatimChar"/>
    <w:rPr>
      <w:rFonts w:ascii="Consolas" w:hAnsi="Consolas"/>
      <w:i/>
      <w:color w:val="5E5E5E"/>
      <w:sz w:val="22"/>
      <w:shd w:val="clear" w:color="auto" w:fill="F1F3F5"/>
    </w:rPr>
  </w:style>
  <w:style w:type="character" w:customStyle="1" w:styleId="AnnotationTok">
    <w:name w:val="AnnotationTok"/>
    <w:basedOn w:val="VerbatimChar"/>
    <w:rPr>
      <w:rFonts w:ascii="Consolas" w:hAnsi="Consolas"/>
      <w:color w:val="5E5E5E"/>
      <w:sz w:val="22"/>
      <w:shd w:val="clear" w:color="auto" w:fill="F1F3F5"/>
    </w:rPr>
  </w:style>
  <w:style w:type="character" w:customStyle="1" w:styleId="CommentVarTok">
    <w:name w:val="CommentVarTok"/>
    <w:basedOn w:val="VerbatimChar"/>
    <w:rPr>
      <w:rFonts w:ascii="Consolas" w:hAnsi="Consolas"/>
      <w:i/>
      <w:color w:val="5E5E5E"/>
      <w:sz w:val="22"/>
      <w:shd w:val="clear" w:color="auto" w:fill="F1F3F5"/>
    </w:rPr>
  </w:style>
  <w:style w:type="character" w:customStyle="1" w:styleId="OtherTok">
    <w:name w:val="OtherTok"/>
    <w:basedOn w:val="VerbatimChar"/>
    <w:rPr>
      <w:rFonts w:ascii="Consolas" w:hAnsi="Consolas"/>
      <w:color w:val="003B4F"/>
      <w:sz w:val="22"/>
      <w:shd w:val="clear" w:color="auto" w:fill="F1F3F5"/>
    </w:rPr>
  </w:style>
  <w:style w:type="character" w:customStyle="1" w:styleId="FunctionTok">
    <w:name w:val="FunctionTok"/>
    <w:basedOn w:val="VerbatimChar"/>
    <w:rPr>
      <w:rFonts w:ascii="Consolas" w:hAnsi="Consolas"/>
      <w:color w:val="4758AB"/>
      <w:sz w:val="22"/>
      <w:shd w:val="clear" w:color="auto" w:fill="F1F3F5"/>
    </w:rPr>
  </w:style>
  <w:style w:type="character" w:customStyle="1" w:styleId="VariableTok">
    <w:name w:val="VariableTok"/>
    <w:basedOn w:val="VerbatimChar"/>
    <w:rPr>
      <w:rFonts w:ascii="Consolas" w:hAnsi="Consolas"/>
      <w:color w:val="111111"/>
      <w:sz w:val="22"/>
      <w:shd w:val="clear" w:color="auto" w:fill="F1F3F5"/>
    </w:rPr>
  </w:style>
  <w:style w:type="character" w:customStyle="1" w:styleId="ControlFlowTok">
    <w:name w:val="ControlFlowTok"/>
    <w:basedOn w:val="VerbatimChar"/>
    <w:rPr>
      <w:rFonts w:ascii="Consolas" w:hAnsi="Consolas"/>
      <w:color w:val="003B4F"/>
      <w:sz w:val="22"/>
      <w:shd w:val="clear" w:color="auto" w:fill="F1F3F5"/>
    </w:rPr>
  </w:style>
  <w:style w:type="character" w:customStyle="1" w:styleId="OperatorTok">
    <w:name w:val="OperatorTok"/>
    <w:basedOn w:val="VerbatimChar"/>
    <w:rPr>
      <w:rFonts w:ascii="Consolas" w:hAnsi="Consolas"/>
      <w:color w:val="5E5E5E"/>
      <w:sz w:val="22"/>
      <w:shd w:val="clear" w:color="auto" w:fill="F1F3F5"/>
    </w:rPr>
  </w:style>
  <w:style w:type="character" w:customStyle="1" w:styleId="BuiltInTok">
    <w:name w:val="BuiltInTok"/>
    <w:basedOn w:val="VerbatimChar"/>
    <w:rPr>
      <w:rFonts w:ascii="Consolas" w:hAnsi="Consolas"/>
      <w:color w:val="003B4F"/>
      <w:sz w:val="22"/>
      <w:shd w:val="clear" w:color="auto" w:fill="F1F3F5"/>
    </w:rPr>
  </w:style>
  <w:style w:type="character" w:customStyle="1" w:styleId="ExtensionTok">
    <w:name w:val="ExtensionTok"/>
    <w:basedOn w:val="VerbatimChar"/>
    <w:rPr>
      <w:rFonts w:ascii="Consolas" w:hAnsi="Consolas"/>
      <w:color w:val="003B4F"/>
      <w:sz w:val="22"/>
      <w:shd w:val="clear" w:color="auto" w:fill="F1F3F5"/>
    </w:rPr>
  </w:style>
  <w:style w:type="character" w:customStyle="1" w:styleId="PreprocessorTok">
    <w:name w:val="PreprocessorTok"/>
    <w:basedOn w:val="VerbatimChar"/>
    <w:rPr>
      <w:rFonts w:ascii="Consolas" w:hAnsi="Consolas"/>
      <w:color w:val="AD0000"/>
      <w:sz w:val="22"/>
      <w:shd w:val="clear" w:color="auto" w:fill="F1F3F5"/>
    </w:rPr>
  </w:style>
  <w:style w:type="character" w:customStyle="1" w:styleId="AttributeTok">
    <w:name w:val="AttributeTok"/>
    <w:basedOn w:val="VerbatimChar"/>
    <w:rPr>
      <w:rFonts w:ascii="Consolas" w:hAnsi="Consolas"/>
      <w:color w:val="657422"/>
      <w:sz w:val="22"/>
      <w:shd w:val="clear" w:color="auto" w:fill="F1F3F5"/>
    </w:rPr>
  </w:style>
  <w:style w:type="character" w:customStyle="1" w:styleId="RegionMarkerTok">
    <w:name w:val="RegionMarkerTok"/>
    <w:basedOn w:val="VerbatimChar"/>
    <w:rPr>
      <w:rFonts w:ascii="Consolas" w:hAnsi="Consolas"/>
      <w:color w:val="003B4F"/>
      <w:sz w:val="22"/>
      <w:shd w:val="clear" w:color="auto" w:fill="F1F3F5"/>
    </w:rPr>
  </w:style>
  <w:style w:type="character" w:customStyle="1" w:styleId="InformationTok">
    <w:name w:val="InformationTok"/>
    <w:basedOn w:val="VerbatimChar"/>
    <w:rPr>
      <w:rFonts w:ascii="Consolas" w:hAnsi="Consolas"/>
      <w:color w:val="5E5E5E"/>
      <w:sz w:val="22"/>
      <w:shd w:val="clear" w:color="auto" w:fill="F1F3F5"/>
    </w:rPr>
  </w:style>
  <w:style w:type="character" w:customStyle="1" w:styleId="WarningTok">
    <w:name w:val="WarningTok"/>
    <w:basedOn w:val="VerbatimChar"/>
    <w:rPr>
      <w:rFonts w:ascii="Consolas" w:hAnsi="Consolas"/>
      <w:i/>
      <w:color w:val="5E5E5E"/>
      <w:sz w:val="22"/>
      <w:shd w:val="clear" w:color="auto" w:fill="F1F3F5"/>
    </w:rPr>
  </w:style>
  <w:style w:type="character" w:customStyle="1" w:styleId="AlertTok">
    <w:name w:val="AlertTok"/>
    <w:basedOn w:val="VerbatimChar"/>
    <w:rPr>
      <w:rFonts w:ascii="Consolas" w:hAnsi="Consolas"/>
      <w:color w:val="AD0000"/>
      <w:sz w:val="22"/>
      <w:shd w:val="clear" w:color="auto" w:fill="F1F3F5"/>
    </w:rPr>
  </w:style>
  <w:style w:type="character" w:customStyle="1" w:styleId="ErrorTok">
    <w:name w:val="ErrorTok"/>
    <w:basedOn w:val="VerbatimChar"/>
    <w:rPr>
      <w:rFonts w:ascii="Consolas" w:hAnsi="Consolas"/>
      <w:color w:val="AD0000"/>
      <w:sz w:val="22"/>
      <w:shd w:val="clear" w:color="auto" w:fill="F1F3F5"/>
    </w:rPr>
  </w:style>
  <w:style w:type="character" w:customStyle="1" w:styleId="NormalTok">
    <w:name w:val="NormalTok"/>
    <w:basedOn w:val="VerbatimChar"/>
    <w:rPr>
      <w:rFonts w:ascii="Consolas" w:hAnsi="Consolas"/>
      <w:color w:val="003B4F"/>
      <w:sz w:val="22"/>
      <w:shd w:val="clear" w:color="auto" w:fill="F1F3F5"/>
    </w:rPr>
  </w:style>
  <w:style w:type="paragraph" w:styleId="Header">
    <w:name w:val="header"/>
    <w:basedOn w:val="Normal"/>
    <w:link w:val="HeaderChar"/>
    <w:rsid w:val="00FC2CEC"/>
    <w:pPr>
      <w:tabs>
        <w:tab w:val="center" w:pos="4513"/>
        <w:tab w:val="right" w:pos="9026"/>
      </w:tabs>
      <w:spacing w:after="0"/>
    </w:pPr>
  </w:style>
  <w:style w:type="character" w:customStyle="1" w:styleId="HeaderChar">
    <w:name w:val="Header Char"/>
    <w:basedOn w:val="DefaultParagraphFont"/>
    <w:link w:val="Header"/>
    <w:rsid w:val="00FC2CEC"/>
  </w:style>
  <w:style w:type="paragraph" w:styleId="Footer">
    <w:name w:val="footer"/>
    <w:basedOn w:val="Normal"/>
    <w:link w:val="FooterChar"/>
    <w:rsid w:val="00FC2CEC"/>
    <w:pPr>
      <w:tabs>
        <w:tab w:val="center" w:pos="4513"/>
        <w:tab w:val="right" w:pos="9026"/>
      </w:tabs>
      <w:spacing w:after="0"/>
    </w:pPr>
  </w:style>
  <w:style w:type="character" w:customStyle="1" w:styleId="FooterChar">
    <w:name w:val="Footer Char"/>
    <w:basedOn w:val="DefaultParagraphFont"/>
    <w:link w:val="Footer"/>
    <w:rsid w:val="00FC2CEC"/>
  </w:style>
  <w:style w:type="character" w:customStyle="1" w:styleId="BodyTextChar">
    <w:name w:val="Body Text Char"/>
    <w:basedOn w:val="DefaultParagraphFont"/>
    <w:link w:val="BodyText"/>
    <w:rsid w:val="0030202C"/>
  </w:style>
  <w:style w:type="paragraph" w:styleId="Revision">
    <w:name w:val="Revision"/>
    <w:hidden/>
    <w:rsid w:val="00196F96"/>
    <w:pPr>
      <w:spacing w:after="0"/>
    </w:pPr>
  </w:style>
  <w:style w:type="character" w:styleId="CommentReference">
    <w:name w:val="annotation reference"/>
    <w:basedOn w:val="DefaultParagraphFont"/>
    <w:rsid w:val="00196F96"/>
    <w:rPr>
      <w:sz w:val="16"/>
      <w:szCs w:val="16"/>
    </w:rPr>
  </w:style>
  <w:style w:type="paragraph" w:styleId="CommentText">
    <w:name w:val="annotation text"/>
    <w:basedOn w:val="Normal"/>
    <w:link w:val="CommentTextChar"/>
    <w:rsid w:val="00196F96"/>
    <w:rPr>
      <w:sz w:val="20"/>
      <w:szCs w:val="20"/>
    </w:rPr>
  </w:style>
  <w:style w:type="character" w:customStyle="1" w:styleId="CommentTextChar">
    <w:name w:val="Comment Text Char"/>
    <w:basedOn w:val="DefaultParagraphFont"/>
    <w:link w:val="CommentText"/>
    <w:rsid w:val="00196F96"/>
    <w:rPr>
      <w:sz w:val="20"/>
      <w:szCs w:val="20"/>
    </w:rPr>
  </w:style>
  <w:style w:type="paragraph" w:styleId="CommentSubject">
    <w:name w:val="annotation subject"/>
    <w:basedOn w:val="CommentText"/>
    <w:next w:val="CommentText"/>
    <w:link w:val="CommentSubjectChar"/>
    <w:rsid w:val="00196F96"/>
    <w:rPr>
      <w:b/>
      <w:bCs/>
    </w:rPr>
  </w:style>
  <w:style w:type="character" w:customStyle="1" w:styleId="CommentSubjectChar">
    <w:name w:val="Comment Subject Char"/>
    <w:basedOn w:val="CommentTextChar"/>
    <w:link w:val="CommentSubject"/>
    <w:rsid w:val="00196F9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hsd-ndrs.shinyapps.io/somatic_dashboard/"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cancerresearchuk.org/health-professional/cancer-statistics/statistics-by-cancer-type/melanoma-skin-cancer"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s://academic.oup.com/ije/article/49/1/15/5538002" TargetMode="External"/><Relationship Id="rId2" Type="http://schemas.openxmlformats.org/officeDocument/2006/relationships/hyperlink" Target="https://sheffield.ac.uk/nice-dsu/tsds/survival-analysis" TargetMode="External"/><Relationship Id="rId1" Type="http://schemas.openxmlformats.org/officeDocument/2006/relationships/hyperlink" Target="https://www.nice.org.uk/process/pmg36/chapter/introduction-to-health-technology-evaluation"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5582E3FC316024DBDF7312EA51E4382" ma:contentTypeVersion="9" ma:contentTypeDescription="Create a new document." ma:contentTypeScope="" ma:versionID="b0943a2b375cfd54fb751caf4ac8b7c9">
  <xsd:schema xmlns:xsd="http://www.w3.org/2001/XMLSchema" xmlns:xs="http://www.w3.org/2001/XMLSchema" xmlns:p="http://schemas.microsoft.com/office/2006/metadata/properties" xmlns:ns2="9cb74576-dddc-44dc-9c42-e2ce2d0b6653" targetNamespace="http://schemas.microsoft.com/office/2006/metadata/properties" ma:root="true" ma:fieldsID="5a46e883928b96c2a3dc817853be63a1" ns2:_="">
    <xsd:import namespace="9cb74576-dddc-44dc-9c42-e2ce2d0b665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b74576-dddc-44dc-9c42-e2ce2d0b665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9C8C571-0869-421F-9DF2-AC45B3FEB851}">
  <ds:schemaRefs>
    <ds:schemaRef ds:uri="http://schemas.microsoft.com/sharepoint/v3/contenttype/forms"/>
  </ds:schemaRefs>
</ds:datastoreItem>
</file>

<file path=customXml/itemProps2.xml><?xml version="1.0" encoding="utf-8"?>
<ds:datastoreItem xmlns:ds="http://schemas.openxmlformats.org/officeDocument/2006/customXml" ds:itemID="{FB0E3B0A-BE30-481F-8BBF-71464AE1D2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b74576-dddc-44dc-9c42-e2ce2d0b665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CDA4D4D-F5C7-4C38-9B4B-281CF98127E4}">
  <ds:schemaRefs>
    <ds:schemaRef ds:uri="http://schemas.openxmlformats.org/officeDocument/2006/bibliography"/>
  </ds:schemaRefs>
</ds:datastoreItem>
</file>

<file path=customXml/itemProps4.xml><?xml version="1.0" encoding="utf-8"?>
<ds:datastoreItem xmlns:ds="http://schemas.openxmlformats.org/officeDocument/2006/customXml" ds:itemID="{8F9ABF52-04EC-4BEA-933F-E714FE9ABDD4}">
  <ds:schemaRefs>
    <ds:schemaRef ds:uri="http://www.w3.org/XML/1998/namespace"/>
    <ds:schemaRef ds:uri="http://schemas.microsoft.com/office/infopath/2007/PartnerControls"/>
    <ds:schemaRef ds:uri="9cb74576-dddc-44dc-9c42-e2ce2d0b6653"/>
    <ds:schemaRef ds:uri="http://purl.org/dc/dcmitype/"/>
    <ds:schemaRef ds:uri="http://schemas.microsoft.com/office/2006/documentManagement/types"/>
    <ds:schemaRef ds:uri="http://purl.org/dc/terms/"/>
    <ds:schemaRef ds:uri="http://schemas.openxmlformats.org/package/2006/metadata/core-properties"/>
    <ds:schemaRef ds:uri="http://schemas.microsoft.com/office/2006/metadata/properties"/>
    <ds:schemaRef ds:uri="http://purl.org/dc/elements/1.1/"/>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11</TotalTime>
  <Pages>9</Pages>
  <Words>2162</Words>
  <Characters>12330</Characters>
  <Application>Microsoft Office Word</Application>
  <DocSecurity>0</DocSecurity>
  <Lines>102</Lines>
  <Paragraphs>28</Paragraphs>
  <ScaleCrop>false</ScaleCrop>
  <Company>NHS</Company>
  <LinksUpToDate>false</LinksUpToDate>
  <CharactersWithSpaces>14464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Age, Gender and Overall Survival for Unresectable or Metastatic Melanoma Treatments</dc:title>
  <dc:creator>THACKRAY, Katherine (NHS ENGLAND)</dc:creator>
  <cp:keywords/>
  <cp:lastModifiedBy>MAKIN, William (NHS ENGLAND)</cp:lastModifiedBy>
  <cp:revision>5</cp:revision>
  <dcterms:created xsi:type="dcterms:W3CDTF">2025-11-14T10:19:00Z</dcterms:created>
  <dcterms:modified xsi:type="dcterms:W3CDTF">2025-11-17T11:38:00Z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iblio-config">
    <vt:lpwstr>True</vt:lpwstr>
  </property>
  <property fmtid="{D5CDD505-2E9C-101B-9397-08002B2CF9AE}" pid="3" name="execute">
    <vt:lpwstr/>
  </property>
  <property fmtid="{D5CDD505-2E9C-101B-9397-08002B2CF9AE}" pid="4" name="header-includes">
    <vt:lpwstr/>
  </property>
  <property fmtid="{D5CDD505-2E9C-101B-9397-08002B2CF9AE}" pid="5" name="include-after">
    <vt:lpwstr/>
  </property>
  <property fmtid="{D5CDD505-2E9C-101B-9397-08002B2CF9AE}" pid="6" name="include-before">
    <vt:lpwstr/>
  </property>
  <property fmtid="{D5CDD505-2E9C-101B-9397-08002B2CF9AE}" pid="7" name="labels">
    <vt:lpwstr/>
  </property>
  <property fmtid="{D5CDD505-2E9C-101B-9397-08002B2CF9AE}" pid="8" name="toc-title">
    <vt:lpwstr>Table of contents</vt:lpwstr>
  </property>
  <property fmtid="{D5CDD505-2E9C-101B-9397-08002B2CF9AE}" pid="9" name="MSIP_Label_c69d85d5-6d9e-4305-a294-1f636ec0f2d6_Enabled">
    <vt:lpwstr>true</vt:lpwstr>
  </property>
  <property fmtid="{D5CDD505-2E9C-101B-9397-08002B2CF9AE}" pid="10" name="MSIP_Label_c69d85d5-6d9e-4305-a294-1f636ec0f2d6_SetDate">
    <vt:lpwstr>2025-10-22T08:25:13Z</vt:lpwstr>
  </property>
  <property fmtid="{D5CDD505-2E9C-101B-9397-08002B2CF9AE}" pid="11" name="MSIP_Label_c69d85d5-6d9e-4305-a294-1f636ec0f2d6_Method">
    <vt:lpwstr>Standard</vt:lpwstr>
  </property>
  <property fmtid="{D5CDD505-2E9C-101B-9397-08002B2CF9AE}" pid="12" name="MSIP_Label_c69d85d5-6d9e-4305-a294-1f636ec0f2d6_Name">
    <vt:lpwstr>OFFICIAL</vt:lpwstr>
  </property>
  <property fmtid="{D5CDD505-2E9C-101B-9397-08002B2CF9AE}" pid="13" name="MSIP_Label_c69d85d5-6d9e-4305-a294-1f636ec0f2d6_SiteId">
    <vt:lpwstr>6030f479-b342-472d-a5dd-740ff7538de9</vt:lpwstr>
  </property>
  <property fmtid="{D5CDD505-2E9C-101B-9397-08002B2CF9AE}" pid="14" name="MSIP_Label_c69d85d5-6d9e-4305-a294-1f636ec0f2d6_ActionId">
    <vt:lpwstr>02670b7b-064b-447f-af32-85795f8452cd</vt:lpwstr>
  </property>
  <property fmtid="{D5CDD505-2E9C-101B-9397-08002B2CF9AE}" pid="15" name="MSIP_Label_c69d85d5-6d9e-4305-a294-1f636ec0f2d6_ContentBits">
    <vt:lpwstr>0</vt:lpwstr>
  </property>
  <property fmtid="{D5CDD505-2E9C-101B-9397-08002B2CF9AE}" pid="16" name="MSIP_Label_c69d85d5-6d9e-4305-a294-1f636ec0f2d6_Tag">
    <vt:lpwstr>10, 3, 0, 2</vt:lpwstr>
  </property>
  <property fmtid="{D5CDD505-2E9C-101B-9397-08002B2CF9AE}" pid="17" name="ContentTypeId">
    <vt:lpwstr>0x010100E5582E3FC316024DBDF7312EA51E4382</vt:lpwstr>
  </property>
</Properties>
</file>